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B1" w:rsidRPr="006406B1" w:rsidRDefault="006406B1" w:rsidP="006406B1">
      <w:pPr>
        <w:pStyle w:val="Heading1"/>
      </w:pPr>
      <w:bookmarkStart w:id="0" w:name="_GoBack"/>
      <w:bookmarkEnd w:id="0"/>
      <w:r w:rsidRPr="006406B1">
        <w:t>Recommended Steps for a Successful Search</w:t>
      </w:r>
    </w:p>
    <w:p w:rsidR="002F6D2E" w:rsidRDefault="002F6D2E" w:rsidP="002F6D2E">
      <w:pPr>
        <w:spacing w:after="40"/>
      </w:pPr>
      <w:r w:rsidRPr="00E81AAA">
        <w:rPr>
          <w:rStyle w:val="Heading2Char"/>
          <w:sz w:val="24"/>
          <w:szCs w:val="24"/>
        </w:rPr>
        <w:t>Directions:</w:t>
      </w:r>
      <w:r w:rsidRPr="00277E54">
        <w:rPr>
          <w:b/>
          <w:color w:val="01A89E"/>
        </w:rPr>
        <w:t xml:space="preserve"> </w:t>
      </w:r>
      <w:r w:rsidR="006406B1">
        <w:t xml:space="preserve">Use this checklist as a guide to good practice. You can adapt any of these </w:t>
      </w:r>
      <w:r w:rsidR="003F715C">
        <w:t xml:space="preserve">38 </w:t>
      </w:r>
      <w:r w:rsidR="006406B1">
        <w:t>steps to your unique needs</w:t>
      </w:r>
      <w:r w:rsidR="006406B1" w:rsidRPr="0042170D">
        <w:t>.</w:t>
      </w:r>
    </w:p>
    <w:p w:rsidR="002F6D2E" w:rsidRDefault="002F6D2E" w:rsidP="00277E54"/>
    <w:tbl>
      <w:tblPr>
        <w:tblStyle w:val="TableGrid1"/>
        <w:tblW w:w="10785" w:type="dxa"/>
        <w:tblInd w:w="-123" w:type="dxa"/>
        <w:tblLook w:val="04A0" w:firstRow="1" w:lastRow="0" w:firstColumn="1" w:lastColumn="0" w:noHBand="0" w:noVBand="1"/>
      </w:tblPr>
      <w:tblGrid>
        <w:gridCol w:w="625"/>
        <w:gridCol w:w="10160"/>
      </w:tblGrid>
      <w:tr w:rsidR="002F6D2E" w:rsidRPr="002F6D2E" w:rsidTr="0050215B">
        <w:trPr>
          <w:cantSplit/>
          <w:tblHeader/>
        </w:trPr>
        <w:tc>
          <w:tcPr>
            <w:tcW w:w="625" w:type="dxa"/>
          </w:tcPr>
          <w:p w:rsidR="002F6D2E" w:rsidRPr="002F6D2E" w:rsidRDefault="002F6D2E" w:rsidP="002F6D2E">
            <w:pPr>
              <w:spacing w:after="40"/>
              <w:jc w:val="center"/>
              <w:rPr>
                <w:sz w:val="28"/>
                <w:szCs w:val="28"/>
              </w:rPr>
            </w:pPr>
            <w:r w:rsidRPr="002F6D2E">
              <w:rPr>
                <w:sz w:val="28"/>
                <w:szCs w:val="28"/>
              </w:rPr>
              <w:sym w:font="Wingdings" w:char="F0FC"/>
            </w:r>
          </w:p>
        </w:tc>
        <w:tc>
          <w:tcPr>
            <w:tcW w:w="10160" w:type="dxa"/>
          </w:tcPr>
          <w:p w:rsidR="002F6D2E" w:rsidRPr="002F6D2E" w:rsidRDefault="006406B1" w:rsidP="002F6D2E">
            <w:pPr>
              <w:spacing w:after="40"/>
              <w:rPr>
                <w:b/>
                <w:sz w:val="28"/>
                <w:szCs w:val="28"/>
              </w:rPr>
            </w:pPr>
            <w:r w:rsidRPr="006406B1">
              <w:rPr>
                <w:b/>
                <w:color w:val="01A89E"/>
                <w:sz w:val="28"/>
                <w:szCs w:val="28"/>
              </w:rPr>
              <w:t>Step</w:t>
            </w: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30119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Review the department:</w:t>
            </w:r>
            <w:r w:rsidRPr="0050215B">
              <w:rPr>
                <w:b/>
              </w:rPr>
              <w:t xml:space="preserve"> </w:t>
            </w:r>
            <w:r w:rsidRPr="0050215B">
              <w:t>Has an internal and/or external review of the department been organized?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55439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Decide the future direction of the department: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Has all available information been reviewed to determine </w:t>
            </w:r>
            <w:r w:rsidR="004C3A15">
              <w:t>whether</w:t>
            </w:r>
            <w:r w:rsidRPr="0050215B">
              <w:t xml:space="preserve"> the department is in alignment with the organizational strategy, it needs to be realigned, or it should be closed? 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42831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Define leadership competencies:</w:t>
            </w:r>
            <w:r w:rsidRPr="0050215B">
              <w:rPr>
                <w:b/>
              </w:rPr>
              <w:t xml:space="preserve"> </w:t>
            </w:r>
            <w:r w:rsidRPr="0050215B">
              <w:t>Are the competencies sought in the new leader based on the history, reviews, and desired future directions of the department?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43103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Initiate the search process: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Have decisions been made about </w:t>
            </w:r>
            <w:r w:rsidRPr="0050215B">
              <w:rPr>
                <w:color w:val="000000"/>
              </w:rPr>
              <w:t>whether to mount an external search and whether to use a search committee?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08345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Select the search committee chair: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Has the search committee chair been selected by the </w:t>
            </w:r>
            <w:r w:rsidRPr="0050215B">
              <w:rPr>
                <w:color w:val="000000"/>
              </w:rPr>
              <w:t>dean, CEO, or hiring authority?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51780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Attend to administrative infrastructure: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Has </w:t>
            </w:r>
            <w:r w:rsidRPr="0050215B">
              <w:rPr>
                <w:color w:val="000000"/>
              </w:rPr>
              <w:t xml:space="preserve">appropriate administrative support for </w:t>
            </w:r>
            <w:r w:rsidR="004C3A15">
              <w:rPr>
                <w:color w:val="000000"/>
              </w:rPr>
              <w:t xml:space="preserve">the </w:t>
            </w:r>
            <w:r w:rsidRPr="0050215B">
              <w:rPr>
                <w:color w:val="000000"/>
              </w:rPr>
              <w:t>search process been arranged?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33746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Decide whether to hire a search consultant: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dean or CEO and search committee chair met with in-house search experts, and have they decided whether to hire an external search consultant?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44542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Appoint search committee: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Has the dean or hiring authority gotten input on search committee membership from key stakeholders? 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48300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rStyle w:val="Heading2Char"/>
              </w:rPr>
              <w:t>Announce the search: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Has the institutional community been informed that </w:t>
            </w:r>
            <w:r w:rsidRPr="0050215B">
              <w:rPr>
                <w:color w:val="000000"/>
              </w:rPr>
              <w:t>a national search for new leadership will be conducted?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25142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Pr="0042170D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50215B">
              <w:rPr>
                <w:b/>
                <w:color w:val="01A89E"/>
              </w:rPr>
              <w:t xml:space="preserve">Schedule the first meeting: </w:t>
            </w:r>
            <w:r w:rsidRPr="0050215B">
              <w:t>Have the committee chair, search committee administrator, and dean’s administrator identified and announced the date for the first search committee meeting?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75648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b/>
              </w:rPr>
            </w:pPr>
            <w:r w:rsidRPr="0050215B">
              <w:rPr>
                <w:b/>
                <w:color w:val="01A89E"/>
              </w:rPr>
              <w:t xml:space="preserve">Create an agenda for the first meeting: </w:t>
            </w:r>
            <w:r w:rsidRPr="0050215B">
              <w:t>Has the search committee chair prepared an agenda for the first meeting?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97968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b/>
              </w:rPr>
            </w:pPr>
            <w:r w:rsidRPr="003B1CA7">
              <w:rPr>
                <w:b/>
                <w:color w:val="01A89E"/>
              </w:rPr>
              <w:t xml:space="preserve">Create and arrange for advertising: </w:t>
            </w:r>
            <w:r w:rsidRPr="0050215B">
              <w:t>Have appropriate national (and possibly international) journals, academic news publications, and Web sites of relevant professional associations been identified to advertise the position?</w:t>
            </w:r>
          </w:p>
          <w:p w:rsidR="0050215B" w:rsidRPr="003F715C" w:rsidRDefault="0050215B" w:rsidP="003F715C">
            <w:pPr>
              <w:ind w:left="455" w:hanging="450"/>
              <w:jc w:val="right"/>
              <w:rPr>
                <w:i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26137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3B1CA7">
              <w:rPr>
                <w:b/>
                <w:color w:val="01A89E"/>
              </w:rPr>
              <w:t xml:space="preserve">Write letters requesting nominations: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c</w:t>
            </w:r>
            <w:r w:rsidRPr="0050215B">
              <w:t>ommittee identified individuals to whom to send the search announcement and a request for names of individuals to be nominated for the position? Have those people been contacted?</w:t>
            </w:r>
          </w:p>
          <w:p w:rsidR="0050215B" w:rsidRPr="0050215B" w:rsidRDefault="0050215B" w:rsidP="0050215B">
            <w:pPr>
              <w:ind w:left="455" w:hanging="450"/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207973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3B1CA7">
              <w:rPr>
                <w:b/>
                <w:color w:val="01A89E"/>
              </w:rPr>
              <w:t xml:space="preserve">Establish a search network: </w:t>
            </w:r>
            <w:r w:rsidRPr="0050215B">
              <w:t xml:space="preserve">Has the search committee chair identified and made calls to establish a network of advisors and mentors? 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36679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Establish a log: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committee administrator established a log for recording nominations, letters sent to candidates, replies received from candidates, curricula vitae received, and committee actions?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6842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Acknowledge nominations and applications: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committee administrator sent acknowledgments to people who submitted nominations?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27313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Develop a candidate evaluation form and score sheet: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search committee agreed on evaluation criteria based on the requirements for the position and constructed a candidate evaluation form and a score sheet?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04433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Provide unconscious-bias training: </w:t>
            </w:r>
            <w:r w:rsidRPr="0050215B">
              <w:t xml:space="preserve">Has training been provided to the committee and interviewers on the </w:t>
            </w:r>
            <w:r w:rsidRPr="0050215B">
              <w:rPr>
                <w:color w:val="000000"/>
              </w:rPr>
              <w:t>effects of unconscious bias in the search and evaluation process, and have steps been taken to mitigate its effects?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49487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Call reluctant candidates: </w:t>
            </w:r>
            <w:r w:rsidRPr="0050215B">
              <w:t xml:space="preserve">Has the search committee chair </w:t>
            </w:r>
            <w:r w:rsidRPr="0050215B">
              <w:rPr>
                <w:color w:val="000000"/>
              </w:rPr>
              <w:t>called leading candidates who have not responded or who have declined to become candidates?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9317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Select candidates for first-round interviews: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committee identified the “short list” of candidates to be invited for first-round interviews?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45836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Communicate with selected candidates who were not selected: </w:t>
            </w:r>
            <w:r w:rsidRPr="0050215B">
              <w:rPr>
                <w:color w:val="000000"/>
              </w:rPr>
              <w:t>Have the candidates not selected been thanked for their interest?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47626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Make arrangements for first-round interviews: </w:t>
            </w:r>
            <w:r w:rsidRPr="0050215B">
              <w:t>Has the search committee decided</w:t>
            </w:r>
            <w:r w:rsidRPr="0050215B">
              <w:rPr>
                <w:color w:val="000000"/>
              </w:rPr>
              <w:t xml:space="preserve"> if initial interviews will occur on campus or if the committee will travel to a neutral location and interview all the candidates on the same day?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10115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Develop interview questions: </w:t>
            </w:r>
            <w:r w:rsidRPr="0050215B">
              <w:t xml:space="preserve">Has the committee </w:t>
            </w:r>
            <w:r w:rsidRPr="0050215B">
              <w:rPr>
                <w:color w:val="000000"/>
              </w:rPr>
              <w:t xml:space="preserve">developed a list of core questions based on criteria on which the candidates are to be evaluated and decided which committee member will pose each question? 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35638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 xml:space="preserve">Decide who will meet and interview the candidates: </w:t>
            </w:r>
            <w:r w:rsidRPr="0050215B">
              <w:t>For on</w:t>
            </w:r>
            <w:r w:rsidR="004C3A15">
              <w:t>-</w:t>
            </w:r>
            <w:r w:rsidRPr="0050215B">
              <w:t xml:space="preserve">campus interviews, </w:t>
            </w:r>
            <w:r w:rsidRPr="0050215B">
              <w:rPr>
                <w:color w:val="000000"/>
              </w:rPr>
              <w:t>has the search committee chair decided who will be invited to meet with the candidate?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37774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3B1CA7">
              <w:rPr>
                <w:b/>
                <w:color w:val="01A89E"/>
              </w:rPr>
              <w:t>Provide interviewing training:</w:t>
            </w:r>
            <w:r w:rsidRPr="0050215B">
              <w:rPr>
                <w:b/>
              </w:rPr>
              <w:t xml:space="preserve"> </w:t>
            </w:r>
            <w:r w:rsidRPr="0050215B">
              <w:t xml:space="preserve">Have </w:t>
            </w:r>
            <w:r w:rsidRPr="0050215B">
              <w:rPr>
                <w:color w:val="000000"/>
              </w:rPr>
              <w:t>the search committee and all interviewers received training on effective interviewing techniques and on how to ask behavioral questions?</w:t>
            </w:r>
          </w:p>
          <w:p w:rsidR="0050215B" w:rsidRPr="0050215B" w:rsidRDefault="0050215B" w:rsidP="003F715C">
            <w:pPr>
              <w:ind w:left="455" w:hanging="450"/>
              <w:jc w:val="right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22566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Interview candidates and write evaluations: </w:t>
            </w:r>
            <w:r w:rsidRPr="0050215B">
              <w:t xml:space="preserve">Have all interviewers submitted </w:t>
            </w:r>
            <w:r w:rsidRPr="0050215B">
              <w:rPr>
                <w:color w:val="000000"/>
              </w:rPr>
              <w:t>written evaluations on each candidate?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34615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Identify semifinalists: </w:t>
            </w:r>
            <w:r w:rsidRPr="0050215B">
              <w:t xml:space="preserve">Has the </w:t>
            </w:r>
            <w:r w:rsidRPr="0050215B">
              <w:rPr>
                <w:color w:val="000000"/>
              </w:rPr>
              <w:t>committee identified the candidates to be invited for a second interview? Have the candidates not selected been thanked for their interest?</w:t>
            </w:r>
          </w:p>
          <w:p w:rsidR="0050215B" w:rsidRP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76353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BC3530">
              <w:rPr>
                <w:b/>
                <w:color w:val="01A89E"/>
              </w:rPr>
              <w:t xml:space="preserve">Ensure that key players are included on the second-round interview schedule: </w:t>
            </w:r>
            <w:r w:rsidRPr="00D46E90">
              <w:t xml:space="preserve">Has the search committee scheduled opportunities for the key players and constituencies (e.g., </w:t>
            </w:r>
            <w:r w:rsidRPr="0050215B">
              <w:rPr>
                <w:color w:val="000000"/>
              </w:rPr>
              <w:t>the dean and CEO, department faculty, residents, students</w:t>
            </w:r>
            <w:r w:rsidRPr="00D46E90">
              <w:t>) to meet the candidate? Has the candidate’s spouse or partner been invited?</w:t>
            </w:r>
          </w:p>
          <w:p w:rsidR="0050215B" w:rsidRPr="00D46E90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79117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Hold seminars and social gatherings: </w:t>
            </w:r>
            <w:r w:rsidRPr="00D46E90">
              <w:t xml:space="preserve">Has the search committee decided </w:t>
            </w:r>
            <w:r w:rsidR="004C3A15">
              <w:t>whether</w:t>
            </w:r>
            <w:r w:rsidRPr="00D46E90">
              <w:t xml:space="preserve"> the candidate should give a seminar, participate in a </w:t>
            </w:r>
            <w:r w:rsidRPr="0050215B">
              <w:rPr>
                <w:color w:val="000000"/>
              </w:rPr>
              <w:t>“town meeting-style” social gathering, and/or be given opportunities for social interaction with other institutional leaders?</w:t>
            </w:r>
          </w:p>
          <w:p w:rsidR="0050215B" w:rsidRPr="00D46E90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35588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Conduct interviews, collect reviewer evaluations, and identify finalists: </w:t>
            </w:r>
            <w:r w:rsidRPr="00D46E90">
              <w:t xml:space="preserve">Following each interview, have all interviewers submitted </w:t>
            </w:r>
            <w:r w:rsidRPr="0050215B">
              <w:rPr>
                <w:color w:val="000000"/>
              </w:rPr>
              <w:t>written evaluations on each candidate</w:t>
            </w:r>
            <w:r w:rsidR="004C3A15">
              <w:rPr>
                <w:color w:val="000000"/>
              </w:rPr>
              <w:t>?</w:t>
            </w:r>
            <w:r w:rsidRPr="0050215B">
              <w:rPr>
                <w:color w:val="000000"/>
              </w:rPr>
              <w:t xml:space="preserve"> Have finalists been identified? </w:t>
            </w:r>
          </w:p>
          <w:p w:rsidR="0050215B" w:rsidRPr="00D46E90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7152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Make reference calls: </w:t>
            </w:r>
            <w:r w:rsidRPr="00D46E90">
              <w:t xml:space="preserve">Has </w:t>
            </w:r>
            <w:r w:rsidRPr="0050215B">
              <w:rPr>
                <w:color w:val="000000"/>
              </w:rPr>
              <w:t>one person been designated to make reference calls to national and local colleagues familiar with each of the finalist candidates? Has a standard set of questions been prepared for the reference calls?</w:t>
            </w:r>
          </w:p>
          <w:p w:rsidR="0050215B" w:rsidRPr="00D46E90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90479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Create and present list of finalists: </w:t>
            </w:r>
            <w:r>
              <w:t xml:space="preserve">Has the </w:t>
            </w:r>
            <w:r w:rsidRPr="0050215B">
              <w:rPr>
                <w:color w:val="000000"/>
              </w:rPr>
              <w:t>search committee reviewed the results of the reference calls and decided on a final, alphabetized list to present to the dean, CEO, or hiring authority? Does the final list include a comparative analysis of the relative strengths and weaknesses of each finalist?</w:t>
            </w:r>
          </w:p>
          <w:p w:rsid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3230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Contact additional references: </w:t>
            </w:r>
            <w:r>
              <w:t xml:space="preserve">Has the dean or CEO contacted additional national references </w:t>
            </w:r>
            <w:r w:rsidRPr="0050215B">
              <w:rPr>
                <w:color w:val="000000"/>
              </w:rPr>
              <w:t>(e.g., deans, hospital leaders, department chairs, or center directors the hiring authority knows personally) to further evaluate the finalists</w:t>
            </w:r>
            <w:r w:rsidR="004C3A15">
              <w:rPr>
                <w:color w:val="000000"/>
              </w:rPr>
              <w:t>?</w:t>
            </w:r>
            <w:r w:rsidRPr="0050215B">
              <w:rPr>
                <w:color w:val="000000"/>
              </w:rPr>
              <w:t xml:space="preserve"> </w:t>
            </w:r>
          </w:p>
          <w:p w:rsid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6154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Decide whether to continue the search or to select: </w:t>
            </w:r>
            <w:r>
              <w:t xml:space="preserve">Has the dean decided </w:t>
            </w:r>
            <w:r w:rsidRPr="0050215B">
              <w:rPr>
                <w:color w:val="000000"/>
              </w:rPr>
              <w:t>whether to arrange a third visit for the finalists (or a subset of the group) or to select the first-choice candidate?</w:t>
            </w:r>
          </w:p>
          <w:p w:rsid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34968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Develop mutual understanding of position and resources: </w:t>
            </w:r>
            <w:r>
              <w:t xml:space="preserve">Has the </w:t>
            </w:r>
            <w:r w:rsidRPr="0050215B">
              <w:rPr>
                <w:color w:val="000000"/>
              </w:rPr>
              <w:t xml:space="preserve">dean prepared the offer and come to a mutual understanding with the leading candidate about the terms of the offer and the opportunity? </w:t>
            </w:r>
          </w:p>
          <w:p w:rsid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39782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3F715C" w:rsidRDefault="0050215B" w:rsidP="003F715C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b/>
              </w:rPr>
            </w:pPr>
            <w:r w:rsidRPr="00BC3530">
              <w:rPr>
                <w:b/>
                <w:color w:val="01A89E"/>
              </w:rPr>
              <w:t xml:space="preserve">Communicate with unsuccessful finalists: </w:t>
            </w:r>
            <w:r w:rsidRPr="00142FD3">
              <w:t xml:space="preserve">Once the candidate has accepted the offer, </w:t>
            </w:r>
            <w:r w:rsidRPr="00035D25">
              <w:t xml:space="preserve">has the </w:t>
            </w:r>
            <w:r w:rsidRPr="0050215B">
              <w:rPr>
                <w:color w:val="000000"/>
              </w:rPr>
              <w:t xml:space="preserve">search chair communicated with unsuccessful candidates to let them know they were not selected and </w:t>
            </w:r>
            <w:r w:rsidR="004C3A15">
              <w:rPr>
                <w:color w:val="000000"/>
              </w:rPr>
              <w:t xml:space="preserve">to </w:t>
            </w:r>
            <w:r w:rsidRPr="0050215B">
              <w:rPr>
                <w:color w:val="000000"/>
              </w:rPr>
              <w:t>thank them for participating in the search?</w:t>
            </w:r>
          </w:p>
          <w:p w:rsidR="003F715C" w:rsidRPr="003F715C" w:rsidRDefault="003F715C" w:rsidP="003F715C">
            <w:pPr>
              <w:ind w:left="5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-19160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P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  <w:rPr>
                <w:color w:val="000000"/>
              </w:rPr>
            </w:pPr>
            <w:r w:rsidRPr="00BC3530">
              <w:rPr>
                <w:b/>
                <w:color w:val="01A89E"/>
              </w:rPr>
              <w:t xml:space="preserve">Announce the search outcome: </w:t>
            </w:r>
            <w:r>
              <w:t>Has the successful outcome been announced</w:t>
            </w:r>
            <w:r w:rsidRPr="0050215B">
              <w:rPr>
                <w:b/>
              </w:rPr>
              <w:t xml:space="preserve"> </w:t>
            </w:r>
            <w:r w:rsidRPr="0050215B">
              <w:rPr>
                <w:color w:val="000000"/>
              </w:rPr>
              <w:t>to the community and publicly? Has the dean thanked the search committee, its chair, and all those involved in the process?</w:t>
            </w:r>
          </w:p>
          <w:p w:rsidR="0050215B" w:rsidRDefault="0050215B" w:rsidP="0050215B">
            <w:pPr>
              <w:ind w:left="455" w:hanging="450"/>
              <w:rPr>
                <w:b/>
              </w:rPr>
            </w:pPr>
          </w:p>
        </w:tc>
      </w:tr>
      <w:tr w:rsidR="0050215B" w:rsidRPr="002F6D2E" w:rsidTr="0050215B">
        <w:trPr>
          <w:cantSplit/>
        </w:trPr>
        <w:sdt>
          <w:sdtPr>
            <w:rPr>
              <w:sz w:val="28"/>
              <w:szCs w:val="28"/>
            </w:rPr>
            <w:id w:val="149159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50215B" w:rsidRDefault="0050215B" w:rsidP="0050215B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50215B" w:rsidRDefault="0050215B" w:rsidP="0050215B">
            <w:pPr>
              <w:pStyle w:val="ListParagraph"/>
              <w:numPr>
                <w:ilvl w:val="0"/>
                <w:numId w:val="10"/>
              </w:numPr>
              <w:ind w:left="455" w:hanging="450"/>
            </w:pPr>
            <w:r w:rsidRPr="00BC3530">
              <w:rPr>
                <w:b/>
                <w:color w:val="01A89E"/>
              </w:rPr>
              <w:t xml:space="preserve">Plan for transition and onboarding: </w:t>
            </w:r>
            <w:r>
              <w:t>Have plans been made for the leadership transition and onboarding of the new department chair?</w:t>
            </w:r>
          </w:p>
          <w:p w:rsidR="0050215B" w:rsidRDefault="0050215B" w:rsidP="0050215B">
            <w:pPr>
              <w:ind w:left="455" w:hanging="450"/>
              <w:rPr>
                <w:b/>
              </w:rPr>
            </w:pPr>
          </w:p>
        </w:tc>
      </w:tr>
    </w:tbl>
    <w:p w:rsidR="002F6D2E" w:rsidRPr="00277E54" w:rsidRDefault="002F6D2E" w:rsidP="00277E54"/>
    <w:sectPr w:rsidR="002F6D2E" w:rsidRPr="00277E54" w:rsidSect="00EF4573">
      <w:headerReference w:type="default" r:id="rId7"/>
      <w:footerReference w:type="default" r:id="rId8"/>
      <w:pgSz w:w="12240" w:h="15840"/>
      <w:pgMar w:top="720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2B" w:rsidRDefault="008C752B" w:rsidP="00277E54">
      <w:r>
        <w:separator/>
      </w:r>
    </w:p>
  </w:endnote>
  <w:endnote w:type="continuationSeparator" w:id="0">
    <w:p w:rsidR="008C752B" w:rsidRDefault="008C752B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B737A" wp14:editId="04857FCF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0B39" w:rsidRPr="001E51A2" w:rsidRDefault="00580B39" w:rsidP="00277E54">
                          <w:pP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© 201</w:t>
                          </w:r>
                          <w:r w:rsidR="00796BF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7</w:t>
                          </w:r>
                          <w:r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AAMC. May be reproduced and distributed with attribution</w:t>
                          </w:r>
                          <w:r w:rsidR="00A95CD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695" w:rsidRPr="00A95CD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A95CD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7422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1BC8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4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A95CD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</w:t>
                          </w:r>
                          <w:r w:rsidR="00A95CD5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77422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Association of American Medical Colleges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7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:rsidR="00580B39" w:rsidRPr="001E51A2" w:rsidRDefault="00580B39" w:rsidP="00277E54">
                    <w:pP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© 201</w:t>
                    </w:r>
                    <w:r w:rsidR="00796BF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7</w:t>
                    </w:r>
                    <w:r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AAMC. May be reproduced and distributed with attribution</w:t>
                    </w:r>
                    <w:r w:rsidR="00A95CD5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.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55695" w:rsidRPr="00A95CD5">
                      <w:rPr>
                        <w:rFonts w:asciiTheme="minorHAnsi" w:hAnsiTheme="minorHAnsi" w:cstheme="minorHAnsi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A95CD5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77422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6B1BC8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4</w:t>
                    </w:r>
                    <w:r w:rsidR="00055695" w:rsidRPr="001E51A2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A95CD5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</w:t>
                    </w:r>
                    <w:r w:rsidR="00A95CD5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77422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Association of American Medical Colleges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2B" w:rsidRDefault="008C752B" w:rsidP="00277E54">
      <w:r>
        <w:separator/>
      </w:r>
    </w:p>
  </w:footnote>
  <w:footnote w:type="continuationSeparator" w:id="0">
    <w:p w:rsidR="008C752B" w:rsidRDefault="008C752B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0F4A1FF8" wp14:editId="6BC3AB1C">
          <wp:extent cx="7315200" cy="1143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5CD0"/>
    <w:multiLevelType w:val="hybridMultilevel"/>
    <w:tmpl w:val="6414CB82"/>
    <w:lvl w:ilvl="0" w:tplc="C232B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13B8"/>
    <w:multiLevelType w:val="hybridMultilevel"/>
    <w:tmpl w:val="5CF4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D37C6"/>
    <w:multiLevelType w:val="hybridMultilevel"/>
    <w:tmpl w:val="B22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5B90"/>
    <w:multiLevelType w:val="hybridMultilevel"/>
    <w:tmpl w:val="F40036DE"/>
    <w:lvl w:ilvl="0" w:tplc="6AE069E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8350E9B"/>
    <w:multiLevelType w:val="hybridMultilevel"/>
    <w:tmpl w:val="EA3C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90FA8"/>
    <w:multiLevelType w:val="hybridMultilevel"/>
    <w:tmpl w:val="C562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EF045C"/>
    <w:multiLevelType w:val="hybridMultilevel"/>
    <w:tmpl w:val="CBF8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76C38"/>
    <w:multiLevelType w:val="hybridMultilevel"/>
    <w:tmpl w:val="F51A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45FB2"/>
    <w:multiLevelType w:val="hybridMultilevel"/>
    <w:tmpl w:val="04BE6DB4"/>
    <w:lvl w:ilvl="0" w:tplc="3266DC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27B8C"/>
    <w:rsid w:val="00054EED"/>
    <w:rsid w:val="00055695"/>
    <w:rsid w:val="001D1F21"/>
    <w:rsid w:val="001E51A2"/>
    <w:rsid w:val="002564C3"/>
    <w:rsid w:val="00277E54"/>
    <w:rsid w:val="002B1818"/>
    <w:rsid w:val="002D7545"/>
    <w:rsid w:val="002F6D2E"/>
    <w:rsid w:val="00343793"/>
    <w:rsid w:val="003B1CA7"/>
    <w:rsid w:val="003F715C"/>
    <w:rsid w:val="00402EB6"/>
    <w:rsid w:val="00426966"/>
    <w:rsid w:val="00430B51"/>
    <w:rsid w:val="004C3A15"/>
    <w:rsid w:val="0050215B"/>
    <w:rsid w:val="00551C18"/>
    <w:rsid w:val="00580B39"/>
    <w:rsid w:val="00585E90"/>
    <w:rsid w:val="006406B1"/>
    <w:rsid w:val="006B1BC8"/>
    <w:rsid w:val="006C226C"/>
    <w:rsid w:val="00774222"/>
    <w:rsid w:val="00796BF7"/>
    <w:rsid w:val="007B0EB3"/>
    <w:rsid w:val="00864378"/>
    <w:rsid w:val="008C752B"/>
    <w:rsid w:val="009D5C6B"/>
    <w:rsid w:val="009D74FA"/>
    <w:rsid w:val="00A3606F"/>
    <w:rsid w:val="00A3728E"/>
    <w:rsid w:val="00A70FFC"/>
    <w:rsid w:val="00A95CD5"/>
    <w:rsid w:val="00AE2437"/>
    <w:rsid w:val="00B12B56"/>
    <w:rsid w:val="00B75D6A"/>
    <w:rsid w:val="00B95366"/>
    <w:rsid w:val="00BC3530"/>
    <w:rsid w:val="00C119B1"/>
    <w:rsid w:val="00C750A4"/>
    <w:rsid w:val="00CC5908"/>
    <w:rsid w:val="00D31C75"/>
    <w:rsid w:val="00D61627"/>
    <w:rsid w:val="00D8301F"/>
    <w:rsid w:val="00E7321E"/>
    <w:rsid w:val="00E81AAA"/>
    <w:rsid w:val="00EF3762"/>
    <w:rsid w:val="00EF442F"/>
    <w:rsid w:val="00EF4573"/>
    <w:rsid w:val="00F15F9C"/>
    <w:rsid w:val="00F52584"/>
    <w:rsid w:val="00FA3ADE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5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406B1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3</cp:revision>
  <dcterms:created xsi:type="dcterms:W3CDTF">2017-03-06T20:23:00Z</dcterms:created>
  <dcterms:modified xsi:type="dcterms:W3CDTF">2017-03-07T02:15:00Z</dcterms:modified>
</cp:coreProperties>
</file>