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54" w:rsidRPr="00277E54" w:rsidRDefault="00A92219" w:rsidP="00277E54">
      <w:pPr>
        <w:pStyle w:val="Heading1"/>
      </w:pPr>
      <w:r>
        <w:t>Department Chair Onboarding</w:t>
      </w:r>
    </w:p>
    <w:p w:rsidR="00A92219" w:rsidRPr="00D07F55" w:rsidRDefault="00A92219" w:rsidP="00A92219">
      <w:r w:rsidRPr="00D07F55">
        <w:t xml:space="preserve">Successful onboarding of new department chairs should </w:t>
      </w:r>
      <w:r>
        <w:t xml:space="preserve">include building knowledge in each of the following four areas: </w:t>
      </w:r>
      <w:r w:rsidRPr="00D07F55">
        <w:t xml:space="preserve"> </w:t>
      </w:r>
    </w:p>
    <w:p w:rsidR="00A92219" w:rsidRPr="00D07F55" w:rsidRDefault="00A92219" w:rsidP="00A92219">
      <w:pPr>
        <w:pStyle w:val="ListParagraph"/>
        <w:numPr>
          <w:ilvl w:val="0"/>
          <w:numId w:val="3"/>
        </w:numPr>
      </w:pPr>
      <w:r w:rsidRPr="00D07F55">
        <w:t>Compliance</w:t>
      </w:r>
      <w:r>
        <w:t xml:space="preserve">: Knows about </w:t>
      </w:r>
      <w:r w:rsidRPr="00D07F55">
        <w:t>basic legal and policy-related rules and regulations</w:t>
      </w:r>
    </w:p>
    <w:p w:rsidR="00A92219" w:rsidRPr="00D07F55" w:rsidRDefault="00A92219" w:rsidP="00A92219">
      <w:pPr>
        <w:pStyle w:val="ListParagraph"/>
        <w:numPr>
          <w:ilvl w:val="0"/>
          <w:numId w:val="3"/>
        </w:numPr>
      </w:pPr>
      <w:r w:rsidRPr="00D07F55">
        <w:t>Clarification</w:t>
      </w:r>
      <w:r>
        <w:t>: U</w:t>
      </w:r>
      <w:r w:rsidRPr="00D07F55">
        <w:t>nderstand</w:t>
      </w:r>
      <w:r>
        <w:t>s</w:t>
      </w:r>
      <w:r w:rsidRPr="00D07F55">
        <w:t xml:space="preserve"> the position expectations</w:t>
      </w:r>
    </w:p>
    <w:p w:rsidR="00A92219" w:rsidRPr="00D07F55" w:rsidRDefault="00A92219" w:rsidP="00A92219">
      <w:pPr>
        <w:pStyle w:val="ListParagraph"/>
        <w:numPr>
          <w:ilvl w:val="0"/>
          <w:numId w:val="3"/>
        </w:numPr>
      </w:pPr>
      <w:r w:rsidRPr="00D07F55">
        <w:t>Culture</w:t>
      </w:r>
      <w:r>
        <w:t>: Has a</w:t>
      </w:r>
      <w:r w:rsidRPr="00D07F55">
        <w:t xml:space="preserve"> sense of organizational norms</w:t>
      </w:r>
    </w:p>
    <w:p w:rsidR="00A92219" w:rsidRPr="00D07F55" w:rsidRDefault="00A92219" w:rsidP="00A92219">
      <w:pPr>
        <w:pStyle w:val="ListParagraph"/>
        <w:numPr>
          <w:ilvl w:val="0"/>
          <w:numId w:val="3"/>
        </w:numPr>
      </w:pPr>
      <w:r w:rsidRPr="00D07F55">
        <w:t>Connection</w:t>
      </w:r>
      <w:r>
        <w:t xml:space="preserve">: </w:t>
      </w:r>
      <w:r w:rsidRPr="00D07F55">
        <w:t>Establishes interpersonal relationships and information networks</w:t>
      </w:r>
    </w:p>
    <w:p w:rsidR="00A92219" w:rsidRDefault="00A92219" w:rsidP="00A92219">
      <w:pPr>
        <w:rPr>
          <w:b/>
        </w:rPr>
      </w:pPr>
    </w:p>
    <w:p w:rsidR="00A92219" w:rsidRPr="00365004" w:rsidRDefault="00A92219" w:rsidP="00A92219">
      <w:bookmarkStart w:id="0" w:name="_GoBack"/>
      <w:r w:rsidRPr="009A092E">
        <w:rPr>
          <w:rStyle w:val="Heading2Char"/>
        </w:rPr>
        <w:t>The role of the dean is critical in this process:</w:t>
      </w:r>
      <w:r w:rsidRPr="00365004">
        <w:t xml:space="preserve"> </w:t>
      </w:r>
      <w:bookmarkEnd w:id="0"/>
      <w:r w:rsidRPr="00365004">
        <w:t>Ross et al</w:t>
      </w:r>
      <w:r w:rsidR="0007783A">
        <w:t>.</w:t>
      </w:r>
      <w:r w:rsidRPr="00365004">
        <w:t xml:space="preserve"> (2014)</w:t>
      </w:r>
      <w:r w:rsidR="0007783A">
        <w:t>*</w:t>
      </w:r>
      <w:r w:rsidRPr="00365004">
        <w:t xml:space="preserve"> found that new chairs “lamented the pass</w:t>
      </w:r>
      <w:r>
        <w:t xml:space="preserve">ive role the dean played in </w:t>
      </w:r>
      <w:r w:rsidRPr="00365004">
        <w:t xml:space="preserve">their arrival.” </w:t>
      </w:r>
      <w:r>
        <w:t xml:space="preserve">Being active and present is a major opportunity for </w:t>
      </w:r>
      <w:r w:rsidRPr="00365004">
        <w:t>the dean. The dean may delegate some of</w:t>
      </w:r>
      <w:r>
        <w:t xml:space="preserve"> the details to associate deans; h</w:t>
      </w:r>
      <w:r w:rsidRPr="00365004">
        <w:t xml:space="preserve">owever, </w:t>
      </w:r>
      <w:r>
        <w:t xml:space="preserve">she or he </w:t>
      </w:r>
      <w:r w:rsidRPr="00365004">
        <w:t>should be pre</w:t>
      </w:r>
      <w:r>
        <w:t>sent in the eyes of the new chair</w:t>
      </w:r>
      <w:r w:rsidRPr="00365004">
        <w:t xml:space="preserve"> and in the eyes of the other chairs. </w:t>
      </w:r>
    </w:p>
    <w:p w:rsidR="00A92219" w:rsidRPr="00D07F55" w:rsidRDefault="00A92219" w:rsidP="00A92219">
      <w:pPr>
        <w:rPr>
          <w:b/>
        </w:rPr>
      </w:pPr>
    </w:p>
    <w:p w:rsidR="00A92219" w:rsidRPr="00D07F55" w:rsidRDefault="00A92219" w:rsidP="00A92219">
      <w:r w:rsidRPr="00A92219">
        <w:rPr>
          <w:rStyle w:val="Heading2Char"/>
          <w:sz w:val="24"/>
          <w:szCs w:val="24"/>
        </w:rPr>
        <w:t>Directions:</w:t>
      </w:r>
      <w:r w:rsidRPr="00D07F55">
        <w:rPr>
          <w:b/>
        </w:rPr>
        <w:t xml:space="preserve"> </w:t>
      </w:r>
      <w:r>
        <w:t>Use this checklist as a</w:t>
      </w:r>
      <w:r w:rsidRPr="00166F2F">
        <w:t xml:space="preserve"> guide for successful department chair onboarding</w:t>
      </w:r>
      <w:r w:rsidR="00F07A5E">
        <w:t>, from</w:t>
      </w:r>
      <w:r w:rsidR="00877F0C">
        <w:t xml:space="preserve"> what to do before the new chair arrives through the first 30 days</w:t>
      </w:r>
      <w:r w:rsidRPr="00166F2F">
        <w:t>. You can adapt any of these steps to your unique needs.</w:t>
      </w:r>
    </w:p>
    <w:p w:rsidR="00277E54" w:rsidRDefault="00277E54" w:rsidP="00277E54"/>
    <w:tbl>
      <w:tblPr>
        <w:tblStyle w:val="TableGrid1"/>
        <w:tblW w:w="10875" w:type="dxa"/>
        <w:tblLook w:val="04A0" w:firstRow="1" w:lastRow="0" w:firstColumn="1" w:lastColumn="0" w:noHBand="0" w:noVBand="1"/>
      </w:tblPr>
      <w:tblGrid>
        <w:gridCol w:w="496"/>
        <w:gridCol w:w="2819"/>
        <w:gridCol w:w="7560"/>
      </w:tblGrid>
      <w:tr w:rsidR="0000256D" w:rsidTr="0000256D">
        <w:tc>
          <w:tcPr>
            <w:tcW w:w="10875" w:type="dxa"/>
            <w:gridSpan w:val="3"/>
            <w:shd w:val="clear" w:color="auto" w:fill="E7E6E6" w:themeFill="background2"/>
          </w:tcPr>
          <w:p w:rsidR="0000256D" w:rsidRDefault="00656574" w:rsidP="00F33E24">
            <w:pPr>
              <w:spacing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Before the</w:t>
            </w:r>
            <w:r w:rsidR="0000256D">
              <w:rPr>
                <w:b/>
                <w:sz w:val="24"/>
                <w:szCs w:val="24"/>
              </w:rPr>
              <w:t xml:space="preserve"> First Day </w:t>
            </w:r>
          </w:p>
          <w:p w:rsidR="0000256D" w:rsidRPr="00C13281" w:rsidRDefault="0000256D" w:rsidP="00F33E24">
            <w:pPr>
              <w:spacing w:after="40"/>
            </w:pPr>
          </w:p>
        </w:tc>
      </w:tr>
      <w:tr w:rsidR="0000256D" w:rsidTr="0000256D">
        <w:tc>
          <w:tcPr>
            <w:tcW w:w="0" w:type="auto"/>
          </w:tcPr>
          <w:p w:rsidR="0000256D" w:rsidRPr="00C82FB1" w:rsidRDefault="0000256D" w:rsidP="00F33E24">
            <w:pPr>
              <w:spacing w:after="40"/>
              <w:jc w:val="center"/>
              <w:rPr>
                <w:b/>
                <w:sz w:val="28"/>
                <w:szCs w:val="28"/>
              </w:rPr>
            </w:pPr>
            <w:r w:rsidRPr="00C82FB1"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2819" w:type="dxa"/>
          </w:tcPr>
          <w:p w:rsidR="0000256D" w:rsidRPr="00C82FB1" w:rsidRDefault="0000256D" w:rsidP="00F33E24">
            <w:pPr>
              <w:spacing w:after="40"/>
              <w:rPr>
                <w:b/>
                <w:sz w:val="24"/>
                <w:szCs w:val="24"/>
              </w:rPr>
            </w:pPr>
            <w:r w:rsidRPr="00C82FB1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7560" w:type="dxa"/>
          </w:tcPr>
          <w:p w:rsidR="0000256D" w:rsidRPr="00C82FB1" w:rsidRDefault="0000256D" w:rsidP="00F33E24">
            <w:pPr>
              <w:spacing w:after="40"/>
              <w:rPr>
                <w:b/>
                <w:sz w:val="24"/>
                <w:szCs w:val="24"/>
              </w:rPr>
            </w:pPr>
            <w:r w:rsidRPr="00C82FB1">
              <w:rPr>
                <w:b/>
                <w:sz w:val="24"/>
                <w:szCs w:val="24"/>
              </w:rPr>
              <w:t>Tasks</w:t>
            </w:r>
          </w:p>
        </w:tc>
      </w:tr>
      <w:tr w:rsidR="0000256D" w:rsidTr="0000256D">
        <w:sdt>
          <w:sdtPr>
            <w:rPr>
              <w:sz w:val="28"/>
              <w:szCs w:val="28"/>
            </w:rPr>
            <w:id w:val="1764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HR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Finalizes start date 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Confirms onboarding roles and responsibilities </w:t>
            </w:r>
          </w:p>
          <w:p w:rsidR="0000256D" w:rsidRPr="000D4134" w:rsidRDefault="006D2882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Sends an email to the</w:t>
            </w:r>
            <w:r w:rsidR="0000256D" w:rsidRPr="000D4134">
              <w:rPr>
                <w:sz w:val="21"/>
                <w:szCs w:val="21"/>
              </w:rPr>
              <w:t xml:space="preserve"> new chair with additional instructions 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90891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Department Administrator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Serves as “Orientation Navigator,” ensuring the process goes smoothly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Requests technology equipment 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Requests phone setup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Orders office supplies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Updates department documents and databases 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Arranges for keys, badges, parking, etc.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Schedules meetings with people outside the department (dean will provide this list)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5933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IT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Configure and set up equipment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86112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Dean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Identifies a mentor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Schedules regular meetings with the new chair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Adds the new chair to standing meetings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Schedules the first meeting with faculty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Puts together a list of people outside the department the new chair should meet with in the first few weeks of the appointment</w:t>
            </w:r>
            <w:r w:rsidR="00F07A5E">
              <w:rPr>
                <w:sz w:val="21"/>
                <w:szCs w:val="21"/>
              </w:rPr>
              <w:t xml:space="preserve"> </w:t>
            </w:r>
            <w:r w:rsidR="00F07A5E" w:rsidRPr="000D4134">
              <w:rPr>
                <w:sz w:val="21"/>
                <w:szCs w:val="21"/>
              </w:rPr>
              <w:t>(e.g., other chairs, center</w:t>
            </w:r>
            <w:r w:rsidR="00F07A5E">
              <w:rPr>
                <w:sz w:val="21"/>
                <w:szCs w:val="21"/>
              </w:rPr>
              <w:t xml:space="preserve"> directors, CMO, IRB chair</w:t>
            </w:r>
            <w:r w:rsidR="00F07A5E" w:rsidRPr="000D4134">
              <w:rPr>
                <w:sz w:val="21"/>
                <w:szCs w:val="21"/>
              </w:rPr>
              <w:t>)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Schedules a welcome call to answer any remaining questions</w:t>
            </w:r>
          </w:p>
          <w:p w:rsidR="0000256D" w:rsidRPr="0007783A" w:rsidRDefault="0000256D" w:rsidP="0007783A">
            <w:pPr>
              <w:pStyle w:val="ListParagraph"/>
              <w:spacing w:after="40"/>
              <w:ind w:left="360"/>
              <w:jc w:val="right"/>
              <w:rPr>
                <w:i/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199206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Search Chair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Blocks off time to spend with the new chair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146380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Peer Mentor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Contacts the incoming chair; typically, a sitting chair from another department fills this role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Blocks off time to spend with the new chair to become acquainted and socialized into the organizational culture at the medical school and health system level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117471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Advocate or Coach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Contacts the incoming chair; typically, an executive coach, outside mentor, or external chair fills this role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Begins work on individualized short-term and long-term plans to help the incoming chair develop leadership and management skills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tc>
          <w:tcPr>
            <w:tcW w:w="10875" w:type="dxa"/>
            <w:gridSpan w:val="3"/>
            <w:shd w:val="clear" w:color="auto" w:fill="E7E6E6" w:themeFill="background2"/>
          </w:tcPr>
          <w:p w:rsidR="0000256D" w:rsidRDefault="0000256D" w:rsidP="00F33E24">
            <w:pPr>
              <w:spacing w:after="40"/>
              <w:rPr>
                <w:b/>
              </w:rPr>
            </w:pPr>
            <w:r>
              <w:rPr>
                <w:b/>
              </w:rPr>
              <w:t xml:space="preserve">First 30 Days </w:t>
            </w:r>
          </w:p>
          <w:p w:rsidR="0000256D" w:rsidRPr="006D17CE" w:rsidRDefault="0000256D" w:rsidP="00F33E24">
            <w:pPr>
              <w:spacing w:after="40"/>
              <w:rPr>
                <w:b/>
              </w:rPr>
            </w:pPr>
          </w:p>
        </w:tc>
      </w:tr>
      <w:tr w:rsidR="0000256D" w:rsidTr="0000256D">
        <w:tc>
          <w:tcPr>
            <w:tcW w:w="0" w:type="auto"/>
          </w:tcPr>
          <w:p w:rsidR="0000256D" w:rsidRDefault="0000256D" w:rsidP="00F33E24">
            <w:pPr>
              <w:spacing w:after="40"/>
              <w:jc w:val="center"/>
              <w:rPr>
                <w:sz w:val="28"/>
                <w:szCs w:val="28"/>
              </w:rPr>
            </w:pPr>
            <w:r w:rsidRPr="00C82FB1"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2819" w:type="dxa"/>
          </w:tcPr>
          <w:p w:rsidR="0000256D" w:rsidRDefault="0000256D" w:rsidP="00F33E24">
            <w:pPr>
              <w:spacing w:after="40"/>
            </w:pPr>
            <w:r w:rsidRPr="00C82FB1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7560" w:type="dxa"/>
          </w:tcPr>
          <w:p w:rsidR="0000256D" w:rsidRDefault="0000256D" w:rsidP="00F33E24">
            <w:pPr>
              <w:spacing w:after="40"/>
            </w:pPr>
            <w:r w:rsidRPr="006D17CE">
              <w:rPr>
                <w:b/>
                <w:sz w:val="24"/>
                <w:szCs w:val="24"/>
              </w:rPr>
              <w:t>Tasks</w:t>
            </w:r>
          </w:p>
        </w:tc>
      </w:tr>
      <w:tr w:rsidR="0000256D" w:rsidTr="0000256D">
        <w:sdt>
          <w:sdtPr>
            <w:rPr>
              <w:sz w:val="28"/>
              <w:szCs w:val="28"/>
            </w:rPr>
            <w:id w:val="-18466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HR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Assists with completing benefits selections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Checks in with the new chair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Checks in with the dean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101550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Department Administrator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Helps coordinate life needs such as childcare, pet care, banking, personal services, schools, and faith communities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23933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IT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Assists with phone and technology equipment setup and basic use  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145444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Dean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Gives the new chair a tour of the campus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 xml:space="preserve">Makes introductions to key stakeholders 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Attends the first faculty introduction meeting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Makes funds available for a department retreat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Makes funds available for professional development activities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198434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Search Chair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Blocks off time to spend with the new chair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Reflects on the search process and bring</w:t>
            </w:r>
            <w:r w:rsidR="00F07A5E">
              <w:rPr>
                <w:sz w:val="21"/>
                <w:szCs w:val="21"/>
              </w:rPr>
              <w:t>s</w:t>
            </w:r>
            <w:r w:rsidRPr="000D4134">
              <w:rPr>
                <w:sz w:val="21"/>
                <w:szCs w:val="21"/>
              </w:rPr>
              <w:t xml:space="preserve"> it to closure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25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Peer Mentor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Blocks off time to spend with the new chair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Be available to answer questions, discuss concerns, and help with problem solving, as needed</w:t>
            </w:r>
          </w:p>
          <w:p w:rsidR="0000256D" w:rsidRPr="000D4134" w:rsidRDefault="0000256D" w:rsidP="00F33E24">
            <w:pPr>
              <w:pStyle w:val="ListParagraph"/>
              <w:spacing w:after="40"/>
              <w:ind w:left="360"/>
              <w:rPr>
                <w:sz w:val="21"/>
                <w:szCs w:val="21"/>
              </w:rPr>
            </w:pPr>
          </w:p>
        </w:tc>
      </w:tr>
      <w:tr w:rsidR="0000256D" w:rsidTr="0000256D">
        <w:sdt>
          <w:sdtPr>
            <w:rPr>
              <w:sz w:val="28"/>
              <w:szCs w:val="28"/>
            </w:rPr>
            <w:id w:val="-1252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256D" w:rsidRDefault="0000256D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19" w:type="dxa"/>
          </w:tcPr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Advocate or Coach</w:t>
            </w:r>
          </w:p>
        </w:tc>
        <w:tc>
          <w:tcPr>
            <w:tcW w:w="7560" w:type="dxa"/>
          </w:tcPr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Blocks off time to spend with the new chair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Provides coaching and support as well as insight and feedback in team dynamics and organizational politics</w:t>
            </w:r>
          </w:p>
          <w:p w:rsidR="0000256D" w:rsidRPr="000D4134" w:rsidRDefault="0000256D" w:rsidP="0000256D">
            <w:pPr>
              <w:pStyle w:val="ListParagraph"/>
              <w:widowControl/>
              <w:numPr>
                <w:ilvl w:val="0"/>
                <w:numId w:val="4"/>
              </w:numPr>
              <w:spacing w:after="40"/>
              <w:contextualSpacing/>
              <w:rPr>
                <w:sz w:val="21"/>
                <w:szCs w:val="21"/>
              </w:rPr>
            </w:pPr>
            <w:r w:rsidRPr="000D4134">
              <w:rPr>
                <w:sz w:val="21"/>
                <w:szCs w:val="21"/>
              </w:rPr>
              <w:t>Offers guidance for developing relationships</w:t>
            </w:r>
          </w:p>
          <w:p w:rsidR="0000256D" w:rsidRPr="000D4134" w:rsidRDefault="0000256D" w:rsidP="00F33E24">
            <w:pPr>
              <w:spacing w:after="40"/>
              <w:rPr>
                <w:sz w:val="21"/>
                <w:szCs w:val="21"/>
              </w:rPr>
            </w:pPr>
          </w:p>
        </w:tc>
      </w:tr>
    </w:tbl>
    <w:p w:rsidR="0000256D" w:rsidRPr="0000256D" w:rsidRDefault="004C1B55" w:rsidP="0000256D">
      <w:pPr>
        <w:rPr>
          <w:sz w:val="2"/>
          <w:szCs w:val="2"/>
        </w:rPr>
      </w:pPr>
      <w:r w:rsidRPr="004C1B55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76200</wp:posOffset>
                </wp:positionV>
                <wp:extent cx="7344410" cy="219075"/>
                <wp:effectExtent l="0" t="0" r="889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4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B55" w:rsidRPr="004C1B55" w:rsidRDefault="004C1B55" w:rsidP="004C1B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4C1B55">
                              <w:rPr>
                                <w:sz w:val="16"/>
                                <w:szCs w:val="16"/>
                              </w:rPr>
                              <w:t xml:space="preserve">Ross WE, Huang KH, Jones GH. 2014. Executive onboarding: Ensuring the success of the newly hired department chair. </w:t>
                            </w:r>
                            <w:proofErr w:type="spellStart"/>
                            <w:r w:rsidRPr="004C1B55">
                              <w:rPr>
                                <w:sz w:val="16"/>
                                <w:szCs w:val="16"/>
                              </w:rPr>
                              <w:t>Acad</w:t>
                            </w:r>
                            <w:proofErr w:type="spellEnd"/>
                            <w:r w:rsidRPr="004C1B55">
                              <w:rPr>
                                <w:sz w:val="16"/>
                                <w:szCs w:val="16"/>
                              </w:rPr>
                              <w:t xml:space="preserve"> Med 89(5):728-733.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6pt;width:578.3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" stroked="f">
                <v:textbox>
                  <w:txbxContent>
                    <w:p w:rsidR="004C1B55" w:rsidRPr="004C1B55" w:rsidRDefault="004C1B55" w:rsidP="004C1B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Pr="004C1B55">
                        <w:rPr>
                          <w:sz w:val="16"/>
                          <w:szCs w:val="16"/>
                        </w:rPr>
                        <w:t xml:space="preserve">Ross WE, Huang KH, Jones GH. 2014. Executive onboarding: Ensuring the success of the newly hired department chair. </w:t>
                      </w:r>
                      <w:proofErr w:type="spellStart"/>
                      <w:r w:rsidRPr="004C1B55">
                        <w:rPr>
                          <w:sz w:val="16"/>
                          <w:szCs w:val="16"/>
                        </w:rPr>
                        <w:t>Acad</w:t>
                      </w:r>
                      <w:proofErr w:type="spellEnd"/>
                      <w:r w:rsidRPr="004C1B55">
                        <w:rPr>
                          <w:sz w:val="16"/>
                          <w:szCs w:val="16"/>
                        </w:rPr>
                        <w:t xml:space="preserve"> Med 89(5):728-733.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256D" w:rsidRPr="0000256D" w:rsidSect="002D09C9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51" w:rsidRDefault="005E6051" w:rsidP="00277E54">
      <w:r>
        <w:separator/>
      </w:r>
    </w:p>
  </w:endnote>
  <w:endnote w:type="continuationSeparator" w:id="0">
    <w:p w:rsidR="005E6051" w:rsidRDefault="005E6051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737A" wp14:editId="04857FCF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0B39" w:rsidRPr="001E51A2" w:rsidRDefault="009C0B0A" w:rsidP="00277E54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© 2017</w:t>
                          </w:r>
                          <w:r w:rsidR="00580B39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AAMC. May be reproduced and distributed with attribution</w:t>
                          </w:r>
                          <w:r w:rsidR="009A427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.                        </w:t>
                          </w:r>
                          <w:r w:rsidR="00055695" w:rsidRPr="009A427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990E3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A092E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</w:t>
                          </w:r>
                          <w:r w:rsidR="009A427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90E3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Association of American Medical Colleges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580B39" w:rsidRPr="001E51A2" w:rsidRDefault="009C0B0A" w:rsidP="00277E54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© 2017</w:t>
                    </w:r>
                    <w:r w:rsidR="00580B39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AAMC. May be reproduced and distributed with attribution</w:t>
                    </w:r>
                    <w:r w:rsidR="009A427B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.                        </w:t>
                    </w:r>
                    <w:r w:rsidR="00055695" w:rsidRPr="009A427B">
                      <w:rPr>
                        <w:rFonts w:asciiTheme="minorHAnsi" w:hAnsiTheme="minorHAnsi" w:cstheme="minorHAnsi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="00990E33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9A092E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="00055695" w:rsidRPr="001E51A2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</w:t>
                    </w:r>
                    <w:r w:rsidR="009A427B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990E33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Association of American Medical Colleges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51" w:rsidRDefault="005E6051" w:rsidP="00277E54">
      <w:r>
        <w:separator/>
      </w:r>
    </w:p>
  </w:footnote>
  <w:footnote w:type="continuationSeparator" w:id="0">
    <w:p w:rsidR="005E6051" w:rsidRDefault="005E6051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0F4A1FF8" wp14:editId="6BC3AB1C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1EA"/>
    <w:multiLevelType w:val="hybridMultilevel"/>
    <w:tmpl w:val="728250B4"/>
    <w:lvl w:ilvl="0" w:tplc="7E4A5F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C76"/>
    <w:multiLevelType w:val="hybridMultilevel"/>
    <w:tmpl w:val="07CE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411D9"/>
    <w:multiLevelType w:val="hybridMultilevel"/>
    <w:tmpl w:val="A9862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E776EE"/>
    <w:multiLevelType w:val="hybridMultilevel"/>
    <w:tmpl w:val="B6D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0256D"/>
    <w:rsid w:val="00011511"/>
    <w:rsid w:val="00027B8C"/>
    <w:rsid w:val="00054EED"/>
    <w:rsid w:val="00055695"/>
    <w:rsid w:val="0007783A"/>
    <w:rsid w:val="00090285"/>
    <w:rsid w:val="000D4134"/>
    <w:rsid w:val="001D1F21"/>
    <w:rsid w:val="001E51A2"/>
    <w:rsid w:val="002564C3"/>
    <w:rsid w:val="00277E54"/>
    <w:rsid w:val="00295BB6"/>
    <w:rsid w:val="002B1818"/>
    <w:rsid w:val="002D09C9"/>
    <w:rsid w:val="002D7545"/>
    <w:rsid w:val="0030189E"/>
    <w:rsid w:val="00343793"/>
    <w:rsid w:val="00402EB6"/>
    <w:rsid w:val="00426966"/>
    <w:rsid w:val="004C1B55"/>
    <w:rsid w:val="00551C18"/>
    <w:rsid w:val="00580B39"/>
    <w:rsid w:val="00585E90"/>
    <w:rsid w:val="005E6051"/>
    <w:rsid w:val="00656574"/>
    <w:rsid w:val="006C226C"/>
    <w:rsid w:val="006D2882"/>
    <w:rsid w:val="007B0EB3"/>
    <w:rsid w:val="00864378"/>
    <w:rsid w:val="00877F0C"/>
    <w:rsid w:val="008A64D5"/>
    <w:rsid w:val="00990E33"/>
    <w:rsid w:val="009A092E"/>
    <w:rsid w:val="009A427B"/>
    <w:rsid w:val="009C0B0A"/>
    <w:rsid w:val="009D5C6B"/>
    <w:rsid w:val="009D74FA"/>
    <w:rsid w:val="00A3606F"/>
    <w:rsid w:val="00A3728E"/>
    <w:rsid w:val="00A70FFC"/>
    <w:rsid w:val="00A92219"/>
    <w:rsid w:val="00AE2437"/>
    <w:rsid w:val="00B12B56"/>
    <w:rsid w:val="00B95366"/>
    <w:rsid w:val="00C750A4"/>
    <w:rsid w:val="00D31C75"/>
    <w:rsid w:val="00D61627"/>
    <w:rsid w:val="00D8301F"/>
    <w:rsid w:val="00E7321E"/>
    <w:rsid w:val="00EF3762"/>
    <w:rsid w:val="00EF442F"/>
    <w:rsid w:val="00EF4573"/>
    <w:rsid w:val="00F07A5E"/>
    <w:rsid w:val="00F15F9C"/>
    <w:rsid w:val="00F52584"/>
    <w:rsid w:val="00FA3ADE"/>
    <w:rsid w:val="00FA4C45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3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0256D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4</cp:revision>
  <dcterms:created xsi:type="dcterms:W3CDTF">2017-03-06T20:42:00Z</dcterms:created>
  <dcterms:modified xsi:type="dcterms:W3CDTF">2017-03-07T15:46:00Z</dcterms:modified>
</cp:coreProperties>
</file>