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9C8" w:rsidRPr="008D254B" w:rsidRDefault="008D254B" w:rsidP="00497321">
      <w:pPr>
        <w:spacing w:after="0" w:line="240" w:lineRule="auto"/>
        <w:jc w:val="center"/>
        <w:rPr>
          <w:rFonts w:asciiTheme="minorHAnsi" w:hAnsiTheme="minorHAnsi" w:cs="Times New Roman"/>
          <w:b/>
          <w:sz w:val="40"/>
          <w:szCs w:val="40"/>
        </w:rPr>
      </w:pPr>
      <w:r w:rsidRPr="008D254B">
        <w:rPr>
          <w:rFonts w:asciiTheme="minorHAnsi" w:hAnsiTheme="minorHAnsi" w:cs="Times New Roman"/>
          <w:b/>
          <w:sz w:val="40"/>
          <w:szCs w:val="40"/>
        </w:rPr>
        <w:t>School of Medicine</w:t>
      </w:r>
    </w:p>
    <w:p w:rsidR="008D254B" w:rsidRPr="008D254B" w:rsidRDefault="008D254B" w:rsidP="00497321">
      <w:pPr>
        <w:spacing w:after="0" w:line="240" w:lineRule="auto"/>
        <w:jc w:val="center"/>
        <w:rPr>
          <w:rFonts w:cs="Times New Roman"/>
          <w:b/>
          <w:sz w:val="32"/>
          <w:szCs w:val="32"/>
        </w:rPr>
      </w:pPr>
    </w:p>
    <w:p w:rsidR="008D254B" w:rsidRPr="008D254B" w:rsidRDefault="008D254B" w:rsidP="00497321">
      <w:pPr>
        <w:spacing w:after="0" w:line="240" w:lineRule="auto"/>
        <w:jc w:val="center"/>
        <w:rPr>
          <w:rFonts w:cs="Times New Roman"/>
          <w:b/>
          <w:sz w:val="26"/>
          <w:szCs w:val="26"/>
        </w:rPr>
      </w:pPr>
      <w:r w:rsidRPr="008D254B">
        <w:rPr>
          <w:rFonts w:cs="Times New Roman"/>
          <w:b/>
          <w:sz w:val="26"/>
          <w:szCs w:val="26"/>
        </w:rPr>
        <w:t>Date</w:t>
      </w:r>
    </w:p>
    <w:p w:rsidR="008D254B" w:rsidRDefault="008D254B" w:rsidP="00497321">
      <w:pPr>
        <w:spacing w:after="0" w:line="240" w:lineRule="auto"/>
        <w:jc w:val="center"/>
        <w:rPr>
          <w:rFonts w:cs="Times New Roman"/>
          <w:b/>
          <w:sz w:val="32"/>
          <w:szCs w:val="32"/>
        </w:rPr>
      </w:pPr>
    </w:p>
    <w:p w:rsidR="008D254B" w:rsidRDefault="008D254B" w:rsidP="00497321">
      <w:pPr>
        <w:pStyle w:val="Heading1"/>
      </w:pPr>
      <w:r>
        <w:t>Identifying information</w:t>
      </w:r>
    </w:p>
    <w:p w:rsidR="008D254B" w:rsidRDefault="008D254B" w:rsidP="00497321">
      <w:pPr>
        <w:spacing w:after="0" w:line="240" w:lineRule="auto"/>
        <w:rPr>
          <w:rFonts w:cs="Times New Roman"/>
          <w:szCs w:val="24"/>
        </w:rPr>
      </w:pPr>
      <w:r w:rsidRPr="008D254B">
        <w:rPr>
          <w:rFonts w:cs="Times New Roman"/>
          <w:szCs w:val="24"/>
        </w:rPr>
        <w:t>&lt;Student’s legal name and year in school name and location of medical school&gt;</w:t>
      </w:r>
    </w:p>
    <w:p w:rsidR="008D254B" w:rsidRDefault="008D254B" w:rsidP="00497321">
      <w:pPr>
        <w:spacing w:after="0" w:line="240" w:lineRule="auto"/>
        <w:rPr>
          <w:rFonts w:cs="Times New Roman"/>
          <w:szCs w:val="24"/>
        </w:rPr>
      </w:pPr>
    </w:p>
    <w:p w:rsidR="008D254B" w:rsidRDefault="008D254B" w:rsidP="00497321">
      <w:pPr>
        <w:pStyle w:val="Heading1"/>
      </w:pPr>
      <w:r>
        <w:t>Noteworthy characteristics</w:t>
      </w:r>
    </w:p>
    <w:p w:rsidR="008D254B" w:rsidRDefault="008D254B" w:rsidP="00497321">
      <w:pPr>
        <w:spacing w:after="0" w:line="240" w:lineRule="auto"/>
        <w:rPr>
          <w:rFonts w:cs="Times New Roman"/>
          <w:szCs w:val="24"/>
        </w:rPr>
      </w:pPr>
      <w:r>
        <w:rPr>
          <w:rFonts w:cs="Times New Roman"/>
          <w:szCs w:val="24"/>
        </w:rPr>
        <w:t>&lt;Provide a maximum of three characteristics highlighting the most salient noteworthy characteristics of the student. This section should be presented as a bulleted list. Each characteristic should be described in 2 sentences or less. Information about any significant challenges or hardships encountered by the student during medical school may be included.&gt;</w:t>
      </w:r>
    </w:p>
    <w:p w:rsidR="008D254B" w:rsidRDefault="008D254B" w:rsidP="00497321">
      <w:pPr>
        <w:pStyle w:val="ListParagraph"/>
        <w:numPr>
          <w:ilvl w:val="0"/>
          <w:numId w:val="1"/>
        </w:numPr>
        <w:spacing w:after="0" w:line="240" w:lineRule="auto"/>
        <w:rPr>
          <w:rFonts w:cs="Times New Roman"/>
          <w:szCs w:val="24"/>
        </w:rPr>
      </w:pPr>
      <w:r>
        <w:rPr>
          <w:rFonts w:cs="Times New Roman"/>
          <w:szCs w:val="24"/>
        </w:rPr>
        <w:t>&lt;text&gt;</w:t>
      </w:r>
    </w:p>
    <w:p w:rsidR="008D254B" w:rsidRDefault="008D254B" w:rsidP="00497321">
      <w:pPr>
        <w:pStyle w:val="ListParagraph"/>
        <w:numPr>
          <w:ilvl w:val="0"/>
          <w:numId w:val="1"/>
        </w:numPr>
        <w:spacing w:after="0" w:line="240" w:lineRule="auto"/>
        <w:rPr>
          <w:rFonts w:cs="Times New Roman"/>
          <w:szCs w:val="24"/>
        </w:rPr>
      </w:pPr>
      <w:r>
        <w:rPr>
          <w:rFonts w:cs="Times New Roman"/>
          <w:szCs w:val="24"/>
        </w:rPr>
        <w:t>&lt;text&gt;</w:t>
      </w:r>
    </w:p>
    <w:p w:rsidR="008D254B" w:rsidRDefault="008D254B" w:rsidP="00497321">
      <w:pPr>
        <w:pStyle w:val="ListParagraph"/>
        <w:numPr>
          <w:ilvl w:val="0"/>
          <w:numId w:val="1"/>
        </w:numPr>
        <w:spacing w:after="0" w:line="240" w:lineRule="auto"/>
        <w:rPr>
          <w:rFonts w:cs="Times New Roman"/>
          <w:szCs w:val="24"/>
        </w:rPr>
      </w:pPr>
      <w:r>
        <w:rPr>
          <w:rFonts w:cs="Times New Roman"/>
          <w:szCs w:val="24"/>
        </w:rPr>
        <w:t>&lt;text&gt;</w:t>
      </w:r>
    </w:p>
    <w:p w:rsidR="008D254B" w:rsidRDefault="008D254B" w:rsidP="00497321">
      <w:pPr>
        <w:spacing w:after="0" w:line="240" w:lineRule="auto"/>
        <w:rPr>
          <w:rFonts w:cs="Times New Roman"/>
          <w:szCs w:val="24"/>
        </w:rPr>
      </w:pPr>
    </w:p>
    <w:p w:rsidR="008D254B" w:rsidRDefault="008D254B" w:rsidP="00497321">
      <w:pPr>
        <w:pStyle w:val="Heading1"/>
      </w:pPr>
      <w:r>
        <w:t>Academic History</w:t>
      </w:r>
    </w:p>
    <w:tbl>
      <w:tblPr>
        <w:tblStyle w:val="TableGrid"/>
        <w:tblW w:w="0" w:type="auto"/>
        <w:tblLook w:val="04A0" w:firstRow="1" w:lastRow="0" w:firstColumn="1" w:lastColumn="0" w:noHBand="0" w:noVBand="1"/>
      </w:tblPr>
      <w:tblGrid>
        <w:gridCol w:w="7465"/>
        <w:gridCol w:w="1885"/>
      </w:tblGrid>
      <w:tr w:rsidR="008D254B" w:rsidTr="008D254B">
        <w:tc>
          <w:tcPr>
            <w:tcW w:w="7465" w:type="dxa"/>
          </w:tcPr>
          <w:p w:rsidR="008D254B" w:rsidRDefault="008D254B" w:rsidP="00497321">
            <w:pPr>
              <w:rPr>
                <w:rFonts w:cs="Times New Roman"/>
                <w:szCs w:val="24"/>
              </w:rPr>
            </w:pPr>
            <w:r>
              <w:rPr>
                <w:rFonts w:cs="Times New Roman"/>
                <w:szCs w:val="24"/>
              </w:rPr>
              <w:t>Date of Initial Matriculation in Medical School</w:t>
            </w:r>
          </w:p>
        </w:tc>
        <w:tc>
          <w:tcPr>
            <w:tcW w:w="1885" w:type="dxa"/>
          </w:tcPr>
          <w:p w:rsidR="008D254B" w:rsidRDefault="008D254B" w:rsidP="00497321">
            <w:pPr>
              <w:rPr>
                <w:rFonts w:cs="Times New Roman"/>
                <w:szCs w:val="24"/>
              </w:rPr>
            </w:pPr>
          </w:p>
        </w:tc>
      </w:tr>
      <w:tr w:rsidR="008D254B" w:rsidTr="008D254B">
        <w:tc>
          <w:tcPr>
            <w:tcW w:w="7465" w:type="dxa"/>
          </w:tcPr>
          <w:p w:rsidR="008D254B" w:rsidRDefault="008D254B" w:rsidP="00497321">
            <w:pPr>
              <w:rPr>
                <w:rFonts w:cs="Times New Roman"/>
                <w:szCs w:val="24"/>
              </w:rPr>
            </w:pPr>
            <w:r>
              <w:rPr>
                <w:rFonts w:cs="Times New Roman"/>
                <w:szCs w:val="24"/>
              </w:rPr>
              <w:t>Date of Expected Graduation from Medical School</w:t>
            </w:r>
          </w:p>
        </w:tc>
        <w:tc>
          <w:tcPr>
            <w:tcW w:w="1885" w:type="dxa"/>
          </w:tcPr>
          <w:p w:rsidR="008D254B" w:rsidRDefault="008D254B" w:rsidP="00497321">
            <w:pPr>
              <w:rPr>
                <w:rFonts w:cs="Times New Roman"/>
                <w:szCs w:val="24"/>
              </w:rPr>
            </w:pPr>
          </w:p>
        </w:tc>
      </w:tr>
      <w:tr w:rsidR="009C7485" w:rsidTr="009C7485">
        <w:tc>
          <w:tcPr>
            <w:tcW w:w="7465" w:type="dxa"/>
          </w:tcPr>
          <w:p w:rsidR="009C7485" w:rsidRDefault="009C7485" w:rsidP="00497321">
            <w:pPr>
              <w:rPr>
                <w:rFonts w:cs="Times New Roman"/>
                <w:szCs w:val="24"/>
              </w:rPr>
            </w:pPr>
            <w:r>
              <w:rPr>
                <w:rFonts w:cs="Times New Roman"/>
                <w:szCs w:val="24"/>
              </w:rPr>
              <w:t>Please explain any extensions, leave(s), gap(s), or break(s) in the student’s educational program below:</w:t>
            </w:r>
          </w:p>
          <w:p w:rsidR="009C7485" w:rsidRDefault="009C7485" w:rsidP="00497321">
            <w:pPr>
              <w:rPr>
                <w:rFonts w:cs="Times New Roman"/>
                <w:szCs w:val="24"/>
              </w:rPr>
            </w:pPr>
          </w:p>
        </w:tc>
        <w:tc>
          <w:tcPr>
            <w:tcW w:w="1885" w:type="dxa"/>
          </w:tcPr>
          <w:p w:rsidR="009C7485" w:rsidRDefault="009C7485" w:rsidP="00497321">
            <w:pPr>
              <w:rPr>
                <w:rFonts w:cs="Times New Roman"/>
                <w:szCs w:val="24"/>
              </w:rPr>
            </w:pPr>
          </w:p>
        </w:tc>
      </w:tr>
      <w:tr w:rsidR="008D254B" w:rsidTr="008D254B">
        <w:tc>
          <w:tcPr>
            <w:tcW w:w="7465" w:type="dxa"/>
          </w:tcPr>
          <w:p w:rsidR="008D254B" w:rsidRDefault="008D254B" w:rsidP="00497321">
            <w:pPr>
              <w:rPr>
                <w:rFonts w:cs="Times New Roman"/>
                <w:szCs w:val="24"/>
              </w:rPr>
            </w:pPr>
            <w:r>
              <w:rPr>
                <w:rFonts w:cs="Times New Roman"/>
                <w:szCs w:val="24"/>
              </w:rPr>
              <w:t>Information about the student’s prior, current, or expected enrollment in, and the month and year of the student’s expected graduation from dual, joint or combined degree programs.</w:t>
            </w:r>
          </w:p>
        </w:tc>
        <w:tc>
          <w:tcPr>
            <w:tcW w:w="1885" w:type="dxa"/>
          </w:tcPr>
          <w:p w:rsidR="008D254B" w:rsidRDefault="008D254B" w:rsidP="00497321">
            <w:pPr>
              <w:rPr>
                <w:rFonts w:cs="Times New Roman"/>
                <w:szCs w:val="24"/>
              </w:rPr>
            </w:pPr>
          </w:p>
        </w:tc>
      </w:tr>
      <w:tr w:rsidR="008D254B" w:rsidTr="008D254B">
        <w:tc>
          <w:tcPr>
            <w:tcW w:w="7465" w:type="dxa"/>
          </w:tcPr>
          <w:p w:rsidR="008D254B" w:rsidRDefault="008D254B" w:rsidP="00497321">
            <w:pPr>
              <w:rPr>
                <w:rFonts w:cs="Times New Roman"/>
                <w:szCs w:val="24"/>
              </w:rPr>
            </w:pPr>
            <w:r>
              <w:rPr>
                <w:rFonts w:cs="Times New Roman"/>
                <w:szCs w:val="24"/>
              </w:rPr>
              <w:t>Was the student required to repeat or otherwise remediate any course work during their medical education? If yes, please explain.</w:t>
            </w:r>
          </w:p>
          <w:p w:rsidR="009C7485" w:rsidRDefault="009C7485" w:rsidP="00497321">
            <w:pPr>
              <w:rPr>
                <w:rFonts w:cs="Times New Roman"/>
                <w:szCs w:val="24"/>
              </w:rPr>
            </w:pPr>
          </w:p>
        </w:tc>
        <w:tc>
          <w:tcPr>
            <w:tcW w:w="1885" w:type="dxa"/>
          </w:tcPr>
          <w:p w:rsidR="008D254B" w:rsidRDefault="008D254B" w:rsidP="00497321">
            <w:pPr>
              <w:rPr>
                <w:rFonts w:cs="Times New Roman"/>
                <w:szCs w:val="24"/>
              </w:rPr>
            </w:pPr>
          </w:p>
        </w:tc>
      </w:tr>
      <w:tr w:rsidR="008D254B" w:rsidTr="008D254B">
        <w:tc>
          <w:tcPr>
            <w:tcW w:w="7465" w:type="dxa"/>
          </w:tcPr>
          <w:p w:rsidR="008D254B" w:rsidRDefault="009C7485" w:rsidP="00497321">
            <w:pPr>
              <w:rPr>
                <w:rFonts w:cs="Times New Roman"/>
                <w:szCs w:val="24"/>
              </w:rPr>
            </w:pPr>
            <w:r>
              <w:rPr>
                <w:rFonts w:cs="Times New Roman"/>
                <w:szCs w:val="24"/>
              </w:rPr>
              <w:t>Was the student the recipient of any adverse action(s) by the medical school or its parent institution?</w:t>
            </w:r>
          </w:p>
        </w:tc>
        <w:tc>
          <w:tcPr>
            <w:tcW w:w="1885" w:type="dxa"/>
          </w:tcPr>
          <w:p w:rsidR="008D254B" w:rsidRDefault="008D254B" w:rsidP="00497321">
            <w:pPr>
              <w:rPr>
                <w:rFonts w:cs="Times New Roman"/>
                <w:szCs w:val="24"/>
              </w:rPr>
            </w:pPr>
          </w:p>
        </w:tc>
      </w:tr>
    </w:tbl>
    <w:p w:rsidR="008D254B" w:rsidRDefault="008D254B" w:rsidP="00497321">
      <w:pPr>
        <w:spacing w:after="0" w:line="240" w:lineRule="auto"/>
        <w:rPr>
          <w:rFonts w:cs="Times New Roman"/>
          <w:szCs w:val="24"/>
        </w:rPr>
      </w:pPr>
    </w:p>
    <w:p w:rsidR="009C7485" w:rsidRDefault="009C7485" w:rsidP="00497321">
      <w:pPr>
        <w:pStyle w:val="Heading1"/>
      </w:pPr>
      <w:r>
        <w:t>Academic progress</w:t>
      </w:r>
    </w:p>
    <w:p w:rsidR="009C7485" w:rsidRDefault="009C7485" w:rsidP="00497321">
      <w:pPr>
        <w:pStyle w:val="Heading2"/>
      </w:pPr>
      <w:r>
        <w:t>Professional Performance</w:t>
      </w:r>
    </w:p>
    <w:p w:rsidR="009C7485" w:rsidRDefault="009C7485" w:rsidP="00497321">
      <w:pPr>
        <w:spacing w:after="0" w:line="240" w:lineRule="auto"/>
      </w:pPr>
      <w:r>
        <w:t>&lt;Describe how the medical school defines professionalism and what it assesses in students. Whenever possible, areas of strength and weakness should be addressed.&gt;</w:t>
      </w:r>
    </w:p>
    <w:p w:rsidR="009C7485" w:rsidRDefault="009C7485" w:rsidP="00497321">
      <w:pPr>
        <w:spacing w:after="0" w:line="240" w:lineRule="auto"/>
      </w:pPr>
    </w:p>
    <w:p w:rsidR="009C7485" w:rsidRDefault="009C7485" w:rsidP="00497321">
      <w:pPr>
        <w:pStyle w:val="Heading2"/>
      </w:pPr>
      <w:r>
        <w:t>Preclinical Coursework</w:t>
      </w:r>
    </w:p>
    <w:p w:rsidR="009C7485" w:rsidRDefault="009C7485" w:rsidP="00497321">
      <w:pPr>
        <w:spacing w:after="0" w:line="240" w:lineRule="auto"/>
      </w:pPr>
      <w:r>
        <w:t>&lt;If preclinical courses are graded as Pass/Fail, the MSPE should convey that the student has met all requirements. Whenever possible, areas of strength and weakness should be addressed.&gt;</w:t>
      </w:r>
    </w:p>
    <w:p w:rsidR="00497321" w:rsidRDefault="00497321" w:rsidP="00497321">
      <w:pPr>
        <w:spacing w:after="0" w:line="240" w:lineRule="auto"/>
      </w:pPr>
    </w:p>
    <w:p w:rsidR="009C7485" w:rsidRDefault="009C7485" w:rsidP="00497321">
      <w:pPr>
        <w:pStyle w:val="Heading2"/>
        <w:spacing w:before="0" w:after="120"/>
      </w:pPr>
      <w:r>
        <w:lastRenderedPageBreak/>
        <w:t>Clerkships (in chronological order)</w:t>
      </w:r>
    </w:p>
    <w:p w:rsidR="009C7485" w:rsidRDefault="00497321" w:rsidP="00497321">
      <w:pPr>
        <w:spacing w:after="0" w:line="240" w:lineRule="auto"/>
      </w:pPr>
      <w:r>
        <w:t>&lt;T</w:t>
      </w:r>
      <w:r w:rsidR="009C7485">
        <w:t xml:space="preserve">he components of each clerkship grade and the weight of each component (for example, % clinical assessment, % shelf exam, % case write-up, % OSCE, etc.) should be included to better inform program directors on performance. </w:t>
      </w:r>
      <w:r>
        <w:t xml:space="preserve">Whenever possible, areas of strength and weakness should be addressed. </w:t>
      </w:r>
      <w:r w:rsidR="009C7485">
        <w:t>Clerkship evaluations are a crucial piece of information for program directors and are considered by many to be the most important section of the MSPE in determining applicants for interview selection and rank order list.&gt;</w:t>
      </w:r>
    </w:p>
    <w:p w:rsidR="009C7485" w:rsidRDefault="009C7485" w:rsidP="00497321">
      <w:pPr>
        <w:spacing w:after="0" w:line="240" w:lineRule="auto"/>
      </w:pPr>
    </w:p>
    <w:p w:rsidR="009C7485" w:rsidRDefault="009C7485" w:rsidP="00497321">
      <w:pPr>
        <w:spacing w:after="0" w:line="240" w:lineRule="auto"/>
      </w:pPr>
      <w:r>
        <w:t xml:space="preserve">NOTE: The graphs included in this template are meant </w:t>
      </w:r>
      <w:r>
        <w:rPr>
          <w:b/>
        </w:rPr>
        <w:t xml:space="preserve">only </w:t>
      </w:r>
      <w:r>
        <w:t xml:space="preserve">as examples. Schools should use their own grading systems or schemes in their graphs depicting comparative student performance. </w:t>
      </w:r>
    </w:p>
    <w:p w:rsidR="00497321" w:rsidRDefault="00497321" w:rsidP="00497321">
      <w:pPr>
        <w:spacing w:after="0" w:line="240" w:lineRule="auto"/>
      </w:pPr>
    </w:p>
    <w:p w:rsidR="009C7485" w:rsidRDefault="007341DA" w:rsidP="00497321">
      <w:pPr>
        <w:pStyle w:val="Heading3"/>
        <w:spacing w:before="0" w:line="240" w:lineRule="auto"/>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5978</wp:posOffset>
            </wp:positionV>
            <wp:extent cx="2377440" cy="1554480"/>
            <wp:effectExtent l="0" t="0" r="2540" b="1143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V relativeFrom="margin">
              <wp14:pctHeight>0</wp14:pctHeight>
            </wp14:sizeRelV>
          </wp:anchor>
        </w:drawing>
      </w:r>
      <w:r w:rsidR="009C7485">
        <w:t>Specialty (Month – Month Year)</w:t>
      </w:r>
      <w:r w:rsidR="009C7485">
        <w:tab/>
        <w:t>Grade:</w:t>
      </w:r>
      <w:r w:rsidR="008F0B98" w:rsidRPr="008F0B98">
        <w:rPr>
          <w:noProof/>
        </w:rPr>
        <w:t xml:space="preserve"> </w:t>
      </w:r>
    </w:p>
    <w:p w:rsidR="009C7485" w:rsidRDefault="009C7485" w:rsidP="00497321">
      <w:pPr>
        <w:spacing w:after="0" w:line="240" w:lineRule="auto"/>
      </w:pPr>
      <w:r w:rsidRPr="00A65947">
        <w:rPr>
          <w:b/>
        </w:rPr>
        <w:t>Overall grade based on</w:t>
      </w:r>
      <w:r>
        <w:t>:</w:t>
      </w: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9C7485" w:rsidRDefault="009C7485" w:rsidP="00497321">
      <w:pPr>
        <w:spacing w:after="0" w:line="240" w:lineRule="auto"/>
      </w:pPr>
    </w:p>
    <w:p w:rsidR="009C7485" w:rsidRDefault="007341DA" w:rsidP="00497321">
      <w:pPr>
        <w:pStyle w:val="Heading3"/>
        <w:spacing w:before="0" w:line="240" w:lineRule="auto"/>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2377440" cy="1554480"/>
            <wp:effectExtent l="0" t="0" r="2540" b="1143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C7485">
        <w:t>Specialty (Month – Month Year)</w:t>
      </w:r>
      <w:r w:rsidR="009C7485">
        <w:tab/>
        <w:t>Grade:</w:t>
      </w:r>
      <w:r w:rsidRPr="007341DA">
        <w:rPr>
          <w:noProof/>
        </w:rPr>
        <w:t xml:space="preserve"> </w:t>
      </w:r>
    </w:p>
    <w:p w:rsidR="009C7485" w:rsidRPr="00A65947" w:rsidRDefault="009C7485" w:rsidP="00497321">
      <w:pPr>
        <w:spacing w:after="0" w:line="240" w:lineRule="auto"/>
        <w:rPr>
          <w:b/>
        </w:rPr>
      </w:pPr>
      <w:r w:rsidRPr="00A65947">
        <w:rPr>
          <w:b/>
        </w:rPr>
        <w:t>Overall grade based on:</w:t>
      </w: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9C7485" w:rsidRDefault="007341DA" w:rsidP="00497321">
      <w:pPr>
        <w:pStyle w:val="Heading3"/>
        <w:spacing w:before="0" w:line="240" w:lineRule="auto"/>
      </w:pPr>
      <w:r>
        <w:rPr>
          <w:noProof/>
        </w:rPr>
        <w:drawing>
          <wp:anchor distT="0" distB="0" distL="114300" distR="114300" simplePos="0" relativeHeight="251661312" behindDoc="0" locked="0" layoutInCell="1" allowOverlap="1" wp14:anchorId="17742390" wp14:editId="51AB2301">
            <wp:simplePos x="0" y="0"/>
            <wp:positionH relativeFrom="margin">
              <wp:align>right</wp:align>
            </wp:positionH>
            <wp:positionV relativeFrom="paragraph">
              <wp:posOffset>17145</wp:posOffset>
            </wp:positionV>
            <wp:extent cx="2377440" cy="1554480"/>
            <wp:effectExtent l="0" t="0" r="3810" b="762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9C7485">
        <w:t>Specialty (Month – Month Year)</w:t>
      </w:r>
      <w:r w:rsidR="009C7485">
        <w:tab/>
        <w:t>Grade:</w:t>
      </w:r>
      <w:r w:rsidRPr="007341DA">
        <w:rPr>
          <w:noProof/>
        </w:rPr>
        <w:t xml:space="preserve"> </w:t>
      </w:r>
    </w:p>
    <w:p w:rsidR="009C7485" w:rsidRPr="00A65947" w:rsidRDefault="009C7485" w:rsidP="00497321">
      <w:pPr>
        <w:spacing w:after="0" w:line="240" w:lineRule="auto"/>
        <w:rPr>
          <w:b/>
        </w:rPr>
      </w:pPr>
      <w:r w:rsidRPr="00A65947">
        <w:rPr>
          <w:b/>
        </w:rPr>
        <w:t>Overall grade based on:</w:t>
      </w: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7341DA" w:rsidRDefault="007341DA" w:rsidP="007341DA">
      <w:pPr>
        <w:pStyle w:val="Heading3"/>
        <w:spacing w:before="0" w:line="240" w:lineRule="auto"/>
      </w:pPr>
      <w:r>
        <w:rPr>
          <w:noProof/>
        </w:rPr>
        <w:lastRenderedPageBreak/>
        <w:drawing>
          <wp:anchor distT="0" distB="0" distL="114300" distR="114300" simplePos="0" relativeHeight="251663360" behindDoc="0" locked="0" layoutInCell="1" allowOverlap="1" wp14:anchorId="729932AA" wp14:editId="10D54039">
            <wp:simplePos x="0" y="0"/>
            <wp:positionH relativeFrom="margin">
              <wp:align>right</wp:align>
            </wp:positionH>
            <wp:positionV relativeFrom="paragraph">
              <wp:posOffset>5978</wp:posOffset>
            </wp:positionV>
            <wp:extent cx="2377440" cy="1554480"/>
            <wp:effectExtent l="0" t="0" r="2540" b="1143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t>Specialty (Month – Month Year)</w:t>
      </w:r>
      <w:r>
        <w:tab/>
        <w:t>Grade:</w:t>
      </w:r>
      <w:r w:rsidRPr="008F0B98">
        <w:rPr>
          <w:noProof/>
        </w:rPr>
        <w:t xml:space="preserve"> </w:t>
      </w:r>
    </w:p>
    <w:p w:rsidR="007341DA" w:rsidRPr="00A65947" w:rsidRDefault="007341DA" w:rsidP="007341DA">
      <w:pPr>
        <w:spacing w:after="0" w:line="240" w:lineRule="auto"/>
        <w:rPr>
          <w:b/>
        </w:rPr>
      </w:pPr>
      <w:r w:rsidRPr="00A65947">
        <w:rPr>
          <w:b/>
        </w:rPr>
        <w:t>Overall grade based on:</w:t>
      </w:r>
    </w:p>
    <w:p w:rsidR="007341DA" w:rsidRDefault="007341DA" w:rsidP="007341DA">
      <w:pPr>
        <w:spacing w:after="0" w:line="240" w:lineRule="auto"/>
      </w:pPr>
    </w:p>
    <w:p w:rsidR="007341DA" w:rsidRDefault="007341DA" w:rsidP="007341DA">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7341DA" w:rsidRDefault="007341DA" w:rsidP="007341DA">
      <w:pPr>
        <w:pStyle w:val="Heading3"/>
        <w:spacing w:before="0" w:line="240" w:lineRule="auto"/>
      </w:pPr>
      <w:r>
        <w:rPr>
          <w:noProof/>
        </w:rPr>
        <w:drawing>
          <wp:anchor distT="0" distB="0" distL="114300" distR="114300" simplePos="0" relativeHeight="251665408" behindDoc="0" locked="0" layoutInCell="1" allowOverlap="1" wp14:anchorId="729932AA" wp14:editId="10D54039">
            <wp:simplePos x="0" y="0"/>
            <wp:positionH relativeFrom="margin">
              <wp:align>right</wp:align>
            </wp:positionH>
            <wp:positionV relativeFrom="paragraph">
              <wp:posOffset>5978</wp:posOffset>
            </wp:positionV>
            <wp:extent cx="2377440" cy="1554480"/>
            <wp:effectExtent l="0" t="0" r="2540" b="1143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t>Specialty (Month – Month Year)</w:t>
      </w:r>
      <w:r>
        <w:tab/>
        <w:t>Grade:</w:t>
      </w:r>
      <w:r w:rsidRPr="008F0B98">
        <w:rPr>
          <w:noProof/>
        </w:rPr>
        <w:t xml:space="preserve"> </w:t>
      </w:r>
    </w:p>
    <w:p w:rsidR="007341DA" w:rsidRPr="00A65947" w:rsidRDefault="007341DA" w:rsidP="007341DA">
      <w:pPr>
        <w:spacing w:after="0" w:line="240" w:lineRule="auto"/>
        <w:rPr>
          <w:b/>
        </w:rPr>
      </w:pPr>
      <w:bookmarkStart w:id="0" w:name="_GoBack"/>
      <w:r w:rsidRPr="00A65947">
        <w:rPr>
          <w:b/>
        </w:rPr>
        <w:t>Overall grade based on:</w:t>
      </w:r>
    </w:p>
    <w:bookmarkEnd w:id="0"/>
    <w:p w:rsidR="007341DA" w:rsidRDefault="007341DA" w:rsidP="007341DA">
      <w:pPr>
        <w:spacing w:after="0" w:line="240" w:lineRule="auto"/>
      </w:pPr>
    </w:p>
    <w:p w:rsidR="007341DA" w:rsidRDefault="007341DA" w:rsidP="007341DA">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9C7485" w:rsidRDefault="009C7485"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7341DA" w:rsidRDefault="007341DA" w:rsidP="00497321">
      <w:pPr>
        <w:spacing w:after="0" w:line="240" w:lineRule="auto"/>
      </w:pPr>
    </w:p>
    <w:p w:rsidR="009C7485" w:rsidRDefault="009C7485" w:rsidP="00497321">
      <w:pPr>
        <w:pStyle w:val="Heading1"/>
      </w:pPr>
      <w:r>
        <w:t>Summary</w:t>
      </w:r>
    </w:p>
    <w:p w:rsidR="009C7485" w:rsidRDefault="009C7485" w:rsidP="00497321">
      <w:pPr>
        <w:spacing w:after="0" w:line="240" w:lineRule="auto"/>
      </w:pPr>
      <w:r>
        <w:t xml:space="preserve">&lt;The Task Force recommends providing a summative assessment , based upon the school’s evaluation system, of the student’s comparative performance in medical school, relative to their peers. Schools should include information about any school-specific categories used in differentiating among levels of student performance. This may, though does not have to, include graphic representation of the student’s performance relative to their class overall&gt; </w:t>
      </w:r>
    </w:p>
    <w:p w:rsidR="009C7485" w:rsidRDefault="009C7485" w:rsidP="00497321">
      <w:pPr>
        <w:spacing w:after="0" w:line="240" w:lineRule="auto"/>
      </w:pPr>
    </w:p>
    <w:p w:rsidR="00B3654C" w:rsidRDefault="00B3654C" w:rsidP="00497321">
      <w:pPr>
        <w:spacing w:after="0" w:line="240" w:lineRule="auto"/>
      </w:pPr>
    </w:p>
    <w:p w:rsidR="00B3654C" w:rsidRDefault="00B3654C" w:rsidP="00497321">
      <w:pPr>
        <w:spacing w:after="0" w:line="240" w:lineRule="auto"/>
      </w:pPr>
      <w:r>
        <w:t>Sincerely,</w:t>
      </w:r>
    </w:p>
    <w:p w:rsidR="00B3654C" w:rsidRDefault="00B3654C" w:rsidP="00497321">
      <w:pPr>
        <w:spacing w:after="0" w:line="240" w:lineRule="auto"/>
      </w:pPr>
    </w:p>
    <w:p w:rsidR="00B3654C" w:rsidRDefault="00B3654C" w:rsidP="00497321">
      <w:pPr>
        <w:spacing w:after="0" w:line="240" w:lineRule="auto"/>
      </w:pPr>
      <w:r>
        <w:t>&lt;Name&gt;</w:t>
      </w:r>
    </w:p>
    <w:p w:rsidR="00B3654C" w:rsidRDefault="00B3654C" w:rsidP="00497321">
      <w:pPr>
        <w:spacing w:after="0" w:line="240" w:lineRule="auto"/>
      </w:pPr>
      <w:r>
        <w:t>&lt;Title&gt;</w:t>
      </w:r>
    </w:p>
    <w:p w:rsidR="009C7485" w:rsidRDefault="009C7485" w:rsidP="00497321">
      <w:pPr>
        <w:pStyle w:val="Heading1"/>
      </w:pPr>
      <w:r>
        <w:t>Medical school information</w:t>
      </w:r>
    </w:p>
    <w:p w:rsidR="009C7485" w:rsidRPr="009C7485" w:rsidRDefault="009C7485" w:rsidP="00497321">
      <w:pPr>
        <w:spacing w:after="0" w:line="240" w:lineRule="auto"/>
      </w:pPr>
      <w:r>
        <w:t>For additional information about the School of Medicine, please see: &lt;website&gt; or &lt;appendix&gt;</w:t>
      </w:r>
    </w:p>
    <w:sectPr w:rsidR="009C7485" w:rsidRPr="009C74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54B" w:rsidRDefault="008D254B" w:rsidP="008D254B">
      <w:pPr>
        <w:spacing w:after="0" w:line="240" w:lineRule="auto"/>
      </w:pPr>
      <w:r>
        <w:separator/>
      </w:r>
    </w:p>
  </w:endnote>
  <w:endnote w:type="continuationSeparator" w:id="0">
    <w:p w:rsidR="008D254B" w:rsidRDefault="008D254B" w:rsidP="008D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54B" w:rsidRDefault="008D254B" w:rsidP="008D254B">
      <w:pPr>
        <w:spacing w:after="0" w:line="240" w:lineRule="auto"/>
      </w:pPr>
      <w:r>
        <w:separator/>
      </w:r>
    </w:p>
  </w:footnote>
  <w:footnote w:type="continuationSeparator" w:id="0">
    <w:p w:rsidR="008D254B" w:rsidRDefault="008D254B" w:rsidP="008D2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9204F"/>
    <w:multiLevelType w:val="hybridMultilevel"/>
    <w:tmpl w:val="422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4B"/>
    <w:rsid w:val="003E29C8"/>
    <w:rsid w:val="00497321"/>
    <w:rsid w:val="007341DA"/>
    <w:rsid w:val="008D254B"/>
    <w:rsid w:val="008F0B98"/>
    <w:rsid w:val="009C7485"/>
    <w:rsid w:val="00A65947"/>
    <w:rsid w:val="00B3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3A1C7-AE97-4470-95EB-5A6BD6EF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485"/>
    <w:rPr>
      <w:rFonts w:ascii="Times New Roman" w:hAnsi="Times New Roman"/>
      <w:sz w:val="24"/>
    </w:rPr>
  </w:style>
  <w:style w:type="paragraph" w:styleId="Heading1">
    <w:name w:val="heading 1"/>
    <w:basedOn w:val="Normal"/>
    <w:next w:val="Normal"/>
    <w:link w:val="Heading1Char"/>
    <w:autoRedefine/>
    <w:uiPriority w:val="9"/>
    <w:qFormat/>
    <w:rsid w:val="00497321"/>
    <w:pPr>
      <w:keepNext/>
      <w:keepLines/>
      <w:spacing w:before="240" w:after="40" w:line="240" w:lineRule="auto"/>
      <w:outlineLvl w:val="0"/>
    </w:pPr>
    <w:rPr>
      <w:rFonts w:eastAsiaTheme="majorEastAsia" w:cstheme="majorBidi"/>
      <w:b/>
      <w:caps/>
      <w:szCs w:val="32"/>
      <w:u w:val="single"/>
    </w:rPr>
  </w:style>
  <w:style w:type="paragraph" w:styleId="Heading2">
    <w:name w:val="heading 2"/>
    <w:basedOn w:val="Normal"/>
    <w:next w:val="Normal"/>
    <w:link w:val="Heading2Char"/>
    <w:autoRedefine/>
    <w:uiPriority w:val="9"/>
    <w:unhideWhenUsed/>
    <w:qFormat/>
    <w:rsid w:val="00497321"/>
    <w:pPr>
      <w:keepNext/>
      <w:keepLines/>
      <w:spacing w:before="120" w:after="0" w:line="240" w:lineRule="auto"/>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9C7485"/>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4B"/>
  </w:style>
  <w:style w:type="paragraph" w:styleId="Footer">
    <w:name w:val="footer"/>
    <w:basedOn w:val="Normal"/>
    <w:link w:val="FooterChar"/>
    <w:uiPriority w:val="99"/>
    <w:unhideWhenUsed/>
    <w:rsid w:val="008D2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4B"/>
  </w:style>
  <w:style w:type="character" w:customStyle="1" w:styleId="Heading1Char">
    <w:name w:val="Heading 1 Char"/>
    <w:basedOn w:val="DefaultParagraphFont"/>
    <w:link w:val="Heading1"/>
    <w:uiPriority w:val="9"/>
    <w:rsid w:val="00497321"/>
    <w:rPr>
      <w:rFonts w:ascii="Times New Roman" w:eastAsiaTheme="majorEastAsia" w:hAnsi="Times New Roman" w:cstheme="majorBidi"/>
      <w:b/>
      <w:caps/>
      <w:sz w:val="24"/>
      <w:szCs w:val="32"/>
      <w:u w:val="single"/>
    </w:rPr>
  </w:style>
  <w:style w:type="character" w:customStyle="1" w:styleId="Heading2Char">
    <w:name w:val="Heading 2 Char"/>
    <w:basedOn w:val="DefaultParagraphFont"/>
    <w:link w:val="Heading2"/>
    <w:uiPriority w:val="9"/>
    <w:rsid w:val="00497321"/>
    <w:rPr>
      <w:rFonts w:ascii="Times New Roman" w:eastAsiaTheme="majorEastAsia" w:hAnsi="Times New Roman" w:cstheme="majorBidi"/>
      <w:b/>
      <w:sz w:val="24"/>
      <w:szCs w:val="26"/>
      <w:u w:val="single"/>
    </w:rPr>
  </w:style>
  <w:style w:type="paragraph" w:styleId="Title">
    <w:name w:val="Title"/>
    <w:basedOn w:val="Normal"/>
    <w:next w:val="Normal"/>
    <w:link w:val="TitleChar"/>
    <w:uiPriority w:val="10"/>
    <w:qFormat/>
    <w:rsid w:val="008D254B"/>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8D254B"/>
    <w:rPr>
      <w:rFonts w:ascii="Times New Roman" w:eastAsiaTheme="majorEastAsia" w:hAnsi="Times New Roman" w:cstheme="majorBidi"/>
      <w:b/>
      <w:spacing w:val="-10"/>
      <w:kern w:val="28"/>
      <w:sz w:val="24"/>
      <w:szCs w:val="56"/>
    </w:rPr>
  </w:style>
  <w:style w:type="paragraph" w:styleId="ListParagraph">
    <w:name w:val="List Paragraph"/>
    <w:basedOn w:val="Normal"/>
    <w:uiPriority w:val="34"/>
    <w:qFormat/>
    <w:rsid w:val="008D254B"/>
    <w:pPr>
      <w:ind w:left="720"/>
      <w:contextualSpacing/>
    </w:pPr>
  </w:style>
  <w:style w:type="table" w:styleId="TableGrid">
    <w:name w:val="Table Grid"/>
    <w:basedOn w:val="TableNormal"/>
    <w:uiPriority w:val="39"/>
    <w:rsid w:val="008D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C7485"/>
    <w:rPr>
      <w:rFonts w:ascii="Times New Roman" w:eastAsiaTheme="majorEastAsia" w:hAnsi="Times New Roman" w:cstheme="majorBidi"/>
      <w:b/>
      <w:sz w:val="24"/>
      <w:szCs w:val="24"/>
    </w:rPr>
  </w:style>
  <w:style w:type="paragraph" w:styleId="BalloonText">
    <w:name w:val="Balloon Text"/>
    <w:basedOn w:val="Normal"/>
    <w:link w:val="BalloonTextChar"/>
    <w:uiPriority w:val="99"/>
    <w:semiHidden/>
    <w:unhideWhenUsed/>
    <w:rsid w:val="00A6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rgbClr val="FF0000"/>
                </a:solidFill>
              </a:rPr>
              <a:t>SAMPLE</a:t>
            </a:r>
          </a:p>
        </c:rich>
      </c:tx>
      <c:layout>
        <c:manualLayout>
          <c:xMode val="edge"/>
          <c:yMode val="edge"/>
          <c:x val="6.7152230971128614E-3"/>
          <c:y val="2.314814814814814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4"/>
            </a:solidFill>
            <a:ln>
              <a:noFill/>
            </a:ln>
            <a:effectLst/>
          </c:spPr>
          <c:invertIfNegative val="0"/>
          <c:cat>
            <c:strRef>
              <c:f>Sheet1!$B$1:$E$1</c:f>
              <c:strCache>
                <c:ptCount val="4"/>
                <c:pt idx="0">
                  <c:v>Honors</c:v>
                </c:pt>
                <c:pt idx="1">
                  <c:v>High Pass</c:v>
                </c:pt>
                <c:pt idx="2">
                  <c:v>Pass</c:v>
                </c:pt>
                <c:pt idx="3">
                  <c:v>Fail</c:v>
                </c:pt>
              </c:strCache>
            </c:strRef>
          </c:cat>
          <c:val>
            <c:numRef>
              <c:f>Sheet1!$B$2:$E$2</c:f>
              <c:numCache>
                <c:formatCode>0%</c:formatCode>
                <c:ptCount val="4"/>
                <c:pt idx="0">
                  <c:v>0.3</c:v>
                </c:pt>
                <c:pt idx="1">
                  <c:v>0.44</c:v>
                </c:pt>
                <c:pt idx="2">
                  <c:v>0.2</c:v>
                </c:pt>
                <c:pt idx="3">
                  <c:v>0.06</c:v>
                </c:pt>
              </c:numCache>
            </c:numRef>
          </c:val>
        </c:ser>
        <c:dLbls>
          <c:showLegendKey val="0"/>
          <c:showVal val="0"/>
          <c:showCatName val="0"/>
          <c:showSerName val="0"/>
          <c:showPercent val="0"/>
          <c:showBubbleSize val="0"/>
        </c:dLbls>
        <c:gapWidth val="219"/>
        <c:overlap val="-27"/>
        <c:axId val="349683904"/>
        <c:axId val="570512784"/>
      </c:barChart>
      <c:catAx>
        <c:axId val="34968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70512784"/>
        <c:crosses val="autoZero"/>
        <c:auto val="1"/>
        <c:lblAlgn val="ctr"/>
        <c:lblOffset val="100"/>
        <c:noMultiLvlLbl val="0"/>
      </c:catAx>
      <c:valAx>
        <c:axId val="570512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68390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1" i="0" u="none" strike="noStrike" kern="1200" spc="0" baseline="0">
                <a:solidFill>
                  <a:srgbClr val="FF0000"/>
                </a:solidFill>
                <a:latin typeface="+mn-lt"/>
                <a:ea typeface="+mn-ea"/>
                <a:cs typeface="+mn-cs"/>
              </a:defRPr>
            </a:pPr>
            <a:r>
              <a:rPr lang="en-US" sz="1200" b="1">
                <a:solidFill>
                  <a:srgbClr val="FF0000"/>
                </a:solidFill>
              </a:rPr>
              <a:t>SAMPLE</a:t>
            </a:r>
          </a:p>
        </c:rich>
      </c:tx>
      <c:layout>
        <c:manualLayout>
          <c:xMode val="edge"/>
          <c:yMode val="edge"/>
          <c:x val="4.722222222222191E-3"/>
          <c:y val="2.314814814814814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rgbClr val="FF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4"/>
            </a:solidFill>
            <a:ln>
              <a:noFill/>
            </a:ln>
            <a:effectLst/>
          </c:spPr>
          <c:invertIfNegative val="0"/>
          <c:cat>
            <c:strRef>
              <c:f>Sheet2!$A$1:$D$1</c:f>
              <c:strCache>
                <c:ptCount val="4"/>
                <c:pt idx="0">
                  <c:v>Honors</c:v>
                </c:pt>
                <c:pt idx="1">
                  <c:v>High Pass</c:v>
                </c:pt>
                <c:pt idx="2">
                  <c:v>Pass</c:v>
                </c:pt>
                <c:pt idx="3">
                  <c:v>Fail</c:v>
                </c:pt>
              </c:strCache>
            </c:strRef>
          </c:cat>
          <c:val>
            <c:numRef>
              <c:f>Sheet2!$A$2:$D$2</c:f>
              <c:numCache>
                <c:formatCode>0%</c:formatCode>
                <c:ptCount val="4"/>
                <c:pt idx="0">
                  <c:v>0.28000000000000003</c:v>
                </c:pt>
                <c:pt idx="1">
                  <c:v>0.47</c:v>
                </c:pt>
                <c:pt idx="2">
                  <c:v>0.2</c:v>
                </c:pt>
                <c:pt idx="3">
                  <c:v>0.05</c:v>
                </c:pt>
              </c:numCache>
            </c:numRef>
          </c:val>
        </c:ser>
        <c:dLbls>
          <c:showLegendKey val="0"/>
          <c:showVal val="0"/>
          <c:showCatName val="0"/>
          <c:showSerName val="0"/>
          <c:showPercent val="0"/>
          <c:showBubbleSize val="0"/>
        </c:dLbls>
        <c:gapWidth val="219"/>
        <c:overlap val="-27"/>
        <c:axId val="405042520"/>
        <c:axId val="405042912"/>
      </c:barChart>
      <c:catAx>
        <c:axId val="405042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5042912"/>
        <c:crosses val="autoZero"/>
        <c:auto val="1"/>
        <c:lblAlgn val="ctr"/>
        <c:lblOffset val="100"/>
        <c:noMultiLvlLbl val="0"/>
      </c:catAx>
      <c:valAx>
        <c:axId val="405042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042520"/>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rgbClr val="FF0000"/>
                </a:solidFill>
              </a:rPr>
              <a:t>SAMPLE</a:t>
            </a:r>
          </a:p>
        </c:rich>
      </c:tx>
      <c:layout>
        <c:manualLayout>
          <c:xMode val="edge"/>
          <c:yMode val="edge"/>
          <c:x val="6.7152230971128614E-3"/>
          <c:y val="2.314814814814814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4"/>
            </a:solidFill>
            <a:ln>
              <a:noFill/>
            </a:ln>
            <a:effectLst/>
          </c:spPr>
          <c:invertIfNegative val="0"/>
          <c:cat>
            <c:strRef>
              <c:f>Sheet1!$B$1:$E$1</c:f>
              <c:strCache>
                <c:ptCount val="4"/>
                <c:pt idx="0">
                  <c:v>Honors</c:v>
                </c:pt>
                <c:pt idx="1">
                  <c:v>High Pass</c:v>
                </c:pt>
                <c:pt idx="2">
                  <c:v>Pass</c:v>
                </c:pt>
                <c:pt idx="3">
                  <c:v>Fail</c:v>
                </c:pt>
              </c:strCache>
            </c:strRef>
          </c:cat>
          <c:val>
            <c:numRef>
              <c:f>Sheet1!$B$2:$E$2</c:f>
              <c:numCache>
                <c:formatCode>0%</c:formatCode>
                <c:ptCount val="4"/>
                <c:pt idx="0">
                  <c:v>0.3</c:v>
                </c:pt>
                <c:pt idx="1">
                  <c:v>0.44</c:v>
                </c:pt>
                <c:pt idx="2">
                  <c:v>0.2</c:v>
                </c:pt>
                <c:pt idx="3">
                  <c:v>0.06</c:v>
                </c:pt>
              </c:numCache>
            </c:numRef>
          </c:val>
        </c:ser>
        <c:dLbls>
          <c:showLegendKey val="0"/>
          <c:showVal val="0"/>
          <c:showCatName val="0"/>
          <c:showSerName val="0"/>
          <c:showPercent val="0"/>
          <c:showBubbleSize val="0"/>
        </c:dLbls>
        <c:gapWidth val="219"/>
        <c:overlap val="-27"/>
        <c:axId val="745136440"/>
        <c:axId val="356504256"/>
      </c:barChart>
      <c:catAx>
        <c:axId val="745136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56504256"/>
        <c:crosses val="autoZero"/>
        <c:auto val="1"/>
        <c:lblAlgn val="ctr"/>
        <c:lblOffset val="100"/>
        <c:noMultiLvlLbl val="0"/>
      </c:catAx>
      <c:valAx>
        <c:axId val="356504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5136440"/>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rgbClr val="FF0000"/>
                </a:solidFill>
              </a:rPr>
              <a:t>SAMPLE</a:t>
            </a:r>
          </a:p>
        </c:rich>
      </c:tx>
      <c:layout>
        <c:manualLayout>
          <c:xMode val="edge"/>
          <c:yMode val="edge"/>
          <c:x val="6.7152230971128614E-3"/>
          <c:y val="2.314814814814814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4"/>
            </a:solidFill>
            <a:ln>
              <a:noFill/>
            </a:ln>
            <a:effectLst/>
          </c:spPr>
          <c:invertIfNegative val="0"/>
          <c:cat>
            <c:strRef>
              <c:f>Sheet1!$B$1:$E$1</c:f>
              <c:strCache>
                <c:ptCount val="4"/>
                <c:pt idx="0">
                  <c:v>Honors</c:v>
                </c:pt>
                <c:pt idx="1">
                  <c:v>High Pass</c:v>
                </c:pt>
                <c:pt idx="2">
                  <c:v>Pass</c:v>
                </c:pt>
                <c:pt idx="3">
                  <c:v>Fail</c:v>
                </c:pt>
              </c:strCache>
            </c:strRef>
          </c:cat>
          <c:val>
            <c:numRef>
              <c:f>Sheet1!$B$2:$E$2</c:f>
              <c:numCache>
                <c:formatCode>0%</c:formatCode>
                <c:ptCount val="4"/>
                <c:pt idx="0">
                  <c:v>0.3</c:v>
                </c:pt>
                <c:pt idx="1">
                  <c:v>0.44</c:v>
                </c:pt>
                <c:pt idx="2">
                  <c:v>0.2</c:v>
                </c:pt>
                <c:pt idx="3">
                  <c:v>0.06</c:v>
                </c:pt>
              </c:numCache>
            </c:numRef>
          </c:val>
        </c:ser>
        <c:dLbls>
          <c:showLegendKey val="0"/>
          <c:showVal val="0"/>
          <c:showCatName val="0"/>
          <c:showSerName val="0"/>
          <c:showPercent val="0"/>
          <c:showBubbleSize val="0"/>
        </c:dLbls>
        <c:gapWidth val="219"/>
        <c:overlap val="-27"/>
        <c:axId val="409015848"/>
        <c:axId val="409016240"/>
      </c:barChart>
      <c:catAx>
        <c:axId val="409015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9016240"/>
        <c:crosses val="autoZero"/>
        <c:auto val="1"/>
        <c:lblAlgn val="ctr"/>
        <c:lblOffset val="100"/>
        <c:noMultiLvlLbl val="0"/>
      </c:catAx>
      <c:valAx>
        <c:axId val="409016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015848"/>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rgbClr val="FF0000"/>
                </a:solidFill>
              </a:rPr>
              <a:t>SAMPLE</a:t>
            </a:r>
          </a:p>
        </c:rich>
      </c:tx>
      <c:layout>
        <c:manualLayout>
          <c:xMode val="edge"/>
          <c:yMode val="edge"/>
          <c:x val="6.7152230971128614E-3"/>
          <c:y val="2.314814814814814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4"/>
            </a:solidFill>
            <a:ln>
              <a:noFill/>
            </a:ln>
            <a:effectLst/>
          </c:spPr>
          <c:invertIfNegative val="0"/>
          <c:cat>
            <c:strRef>
              <c:f>Sheet1!$B$1:$E$1</c:f>
              <c:strCache>
                <c:ptCount val="4"/>
                <c:pt idx="0">
                  <c:v>Honors</c:v>
                </c:pt>
                <c:pt idx="1">
                  <c:v>High Pass</c:v>
                </c:pt>
                <c:pt idx="2">
                  <c:v>Pass</c:v>
                </c:pt>
                <c:pt idx="3">
                  <c:v>Fail</c:v>
                </c:pt>
              </c:strCache>
            </c:strRef>
          </c:cat>
          <c:val>
            <c:numRef>
              <c:f>Sheet1!$B$2:$E$2</c:f>
              <c:numCache>
                <c:formatCode>0%</c:formatCode>
                <c:ptCount val="4"/>
                <c:pt idx="0">
                  <c:v>0.3</c:v>
                </c:pt>
                <c:pt idx="1">
                  <c:v>0.44</c:v>
                </c:pt>
                <c:pt idx="2">
                  <c:v>0.2</c:v>
                </c:pt>
                <c:pt idx="3">
                  <c:v>0.06</c:v>
                </c:pt>
              </c:numCache>
            </c:numRef>
          </c:val>
        </c:ser>
        <c:dLbls>
          <c:showLegendKey val="0"/>
          <c:showVal val="0"/>
          <c:showCatName val="0"/>
          <c:showSerName val="0"/>
          <c:showPercent val="0"/>
          <c:showBubbleSize val="0"/>
        </c:dLbls>
        <c:gapWidth val="219"/>
        <c:overlap val="-27"/>
        <c:axId val="535520216"/>
        <c:axId val="348701520"/>
      </c:barChart>
      <c:catAx>
        <c:axId val="53552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48701520"/>
        <c:crosses val="autoZero"/>
        <c:auto val="1"/>
        <c:lblAlgn val="ctr"/>
        <c:lblOffset val="100"/>
        <c:noMultiLvlLbl val="0"/>
      </c:catAx>
      <c:valAx>
        <c:axId val="348701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52021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0.4173</cdr:x>
      <cdr:y>0.18678</cdr:y>
    </cdr:from>
    <cdr:to>
      <cdr:x>0.49403</cdr:x>
      <cdr:y>0.27821</cdr:y>
    </cdr:to>
    <cdr:sp macro="" textlink="">
      <cdr:nvSpPr>
        <cdr:cNvPr id="2" name="Down Arrow 1"/>
        <cdr:cNvSpPr/>
      </cdr:nvSpPr>
      <cdr:spPr>
        <a:xfrm xmlns:a="http://schemas.openxmlformats.org/drawingml/2006/main">
          <a:off x="992099" y="307426"/>
          <a:ext cx="182433" cy="150481"/>
        </a:xfrm>
        <a:prstGeom xmlns:a="http://schemas.openxmlformats.org/drawingml/2006/main" prst="downArrow">
          <a:avLst/>
        </a:prstGeom>
        <a:solidFill xmlns:a="http://schemas.openxmlformats.org/drawingml/2006/main">
          <a:schemeClr val="bg2">
            <a:lumMod val="50000"/>
          </a:schemeClr>
        </a:solidFill>
        <a:ln xmlns:a="http://schemas.openxmlformats.org/drawingml/2006/main">
          <a:solidFill>
            <a:schemeClr val="bg2">
              <a:lumMod val="50000"/>
            </a:schemeClr>
          </a:solidFill>
        </a:ln>
        <a:effectLst xmlns:a="http://schemas.openxmlformats.org/drawingml/2006/main">
          <a:outerShdw blurRad="50800" dist="38100" dir="2700000" algn="tl" rotWithShape="0">
            <a:prstClr val="black">
              <a:alpha val="40000"/>
            </a:prstClr>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0.15611</cdr:x>
      <cdr:y>0.33796</cdr:y>
    </cdr:from>
    <cdr:to>
      <cdr:x>0.23611</cdr:x>
      <cdr:y>0.43796</cdr:y>
    </cdr:to>
    <cdr:sp macro="" textlink="">
      <cdr:nvSpPr>
        <cdr:cNvPr id="2" name="Down Arrow 1"/>
        <cdr:cNvSpPr/>
      </cdr:nvSpPr>
      <cdr:spPr>
        <a:xfrm xmlns:a="http://schemas.openxmlformats.org/drawingml/2006/main">
          <a:off x="713740" y="927100"/>
          <a:ext cx="365760" cy="274320"/>
        </a:xfrm>
        <a:prstGeom xmlns:a="http://schemas.openxmlformats.org/drawingml/2006/main" prst="downArrow">
          <a:avLst/>
        </a:prstGeom>
        <a:solidFill xmlns:a="http://schemas.openxmlformats.org/drawingml/2006/main">
          <a:schemeClr val="bg2">
            <a:lumMod val="50000"/>
          </a:schemeClr>
        </a:solidFill>
        <a:ln xmlns:a="http://schemas.openxmlformats.org/drawingml/2006/main">
          <a:solidFill>
            <a:schemeClr val="bg2">
              <a:lumMod val="50000"/>
            </a:schemeClr>
          </a:solidFill>
        </a:ln>
        <a:effectLst xmlns:a="http://schemas.openxmlformats.org/drawingml/2006/main">
          <a:outerShdw blurRad="50800" dist="38100" dir="2700000" algn="tl" rotWithShape="0">
            <a:prstClr val="black">
              <a:alpha val="40000"/>
            </a:prstClr>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0.4173</cdr:x>
      <cdr:y>0.18678</cdr:y>
    </cdr:from>
    <cdr:to>
      <cdr:x>0.49403</cdr:x>
      <cdr:y>0.27821</cdr:y>
    </cdr:to>
    <cdr:sp macro="" textlink="">
      <cdr:nvSpPr>
        <cdr:cNvPr id="2" name="Down Arrow 1"/>
        <cdr:cNvSpPr/>
      </cdr:nvSpPr>
      <cdr:spPr>
        <a:xfrm xmlns:a="http://schemas.openxmlformats.org/drawingml/2006/main">
          <a:off x="992099" y="307426"/>
          <a:ext cx="182433" cy="150481"/>
        </a:xfrm>
        <a:prstGeom xmlns:a="http://schemas.openxmlformats.org/drawingml/2006/main" prst="downArrow">
          <a:avLst/>
        </a:prstGeom>
        <a:solidFill xmlns:a="http://schemas.openxmlformats.org/drawingml/2006/main">
          <a:schemeClr val="bg2">
            <a:lumMod val="50000"/>
          </a:schemeClr>
        </a:solidFill>
        <a:ln xmlns:a="http://schemas.openxmlformats.org/drawingml/2006/main">
          <a:solidFill>
            <a:schemeClr val="bg2">
              <a:lumMod val="50000"/>
            </a:schemeClr>
          </a:solidFill>
        </a:ln>
        <a:effectLst xmlns:a="http://schemas.openxmlformats.org/drawingml/2006/main">
          <a:outerShdw blurRad="50800" dist="38100" dir="2700000" algn="tl" rotWithShape="0">
            <a:prstClr val="black">
              <a:alpha val="40000"/>
            </a:prstClr>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0.4173</cdr:x>
      <cdr:y>0.18678</cdr:y>
    </cdr:from>
    <cdr:to>
      <cdr:x>0.49403</cdr:x>
      <cdr:y>0.27821</cdr:y>
    </cdr:to>
    <cdr:sp macro="" textlink="">
      <cdr:nvSpPr>
        <cdr:cNvPr id="2" name="Down Arrow 1"/>
        <cdr:cNvSpPr/>
      </cdr:nvSpPr>
      <cdr:spPr>
        <a:xfrm xmlns:a="http://schemas.openxmlformats.org/drawingml/2006/main">
          <a:off x="992099" y="307426"/>
          <a:ext cx="182433" cy="150481"/>
        </a:xfrm>
        <a:prstGeom xmlns:a="http://schemas.openxmlformats.org/drawingml/2006/main" prst="downArrow">
          <a:avLst/>
        </a:prstGeom>
        <a:solidFill xmlns:a="http://schemas.openxmlformats.org/drawingml/2006/main">
          <a:schemeClr val="bg2">
            <a:lumMod val="50000"/>
          </a:schemeClr>
        </a:solidFill>
        <a:ln xmlns:a="http://schemas.openxmlformats.org/drawingml/2006/main">
          <a:solidFill>
            <a:schemeClr val="bg2">
              <a:lumMod val="50000"/>
            </a:schemeClr>
          </a:solidFill>
        </a:ln>
        <a:effectLst xmlns:a="http://schemas.openxmlformats.org/drawingml/2006/main">
          <a:outerShdw blurRad="50800" dist="38100" dir="2700000" algn="tl" rotWithShape="0">
            <a:prstClr val="black">
              <a:alpha val="40000"/>
            </a:prstClr>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0.4173</cdr:x>
      <cdr:y>0.18678</cdr:y>
    </cdr:from>
    <cdr:to>
      <cdr:x>0.49403</cdr:x>
      <cdr:y>0.27821</cdr:y>
    </cdr:to>
    <cdr:sp macro="" textlink="">
      <cdr:nvSpPr>
        <cdr:cNvPr id="2" name="Down Arrow 1"/>
        <cdr:cNvSpPr/>
      </cdr:nvSpPr>
      <cdr:spPr>
        <a:xfrm xmlns:a="http://schemas.openxmlformats.org/drawingml/2006/main">
          <a:off x="992099" y="307426"/>
          <a:ext cx="182433" cy="150481"/>
        </a:xfrm>
        <a:prstGeom xmlns:a="http://schemas.openxmlformats.org/drawingml/2006/main" prst="downArrow">
          <a:avLst/>
        </a:prstGeom>
        <a:solidFill xmlns:a="http://schemas.openxmlformats.org/drawingml/2006/main">
          <a:schemeClr val="bg2">
            <a:lumMod val="50000"/>
          </a:schemeClr>
        </a:solidFill>
        <a:ln xmlns:a="http://schemas.openxmlformats.org/drawingml/2006/main">
          <a:solidFill>
            <a:schemeClr val="bg2">
              <a:lumMod val="50000"/>
            </a:schemeClr>
          </a:solidFill>
        </a:ln>
        <a:effectLst xmlns:a="http://schemas.openxmlformats.org/drawingml/2006/main">
          <a:outerShdw blurRad="50800" dist="38100" dir="2700000" algn="tl" rotWithShape="0">
            <a:prstClr val="black">
              <a:alpha val="40000"/>
            </a:prstClr>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Addams</dc:creator>
  <cp:keywords/>
  <dc:description/>
  <cp:lastModifiedBy>Amy Addams</cp:lastModifiedBy>
  <cp:revision>2</cp:revision>
  <cp:lastPrinted>2017-06-16T14:32:00Z</cp:lastPrinted>
  <dcterms:created xsi:type="dcterms:W3CDTF">2017-06-16T13:15:00Z</dcterms:created>
  <dcterms:modified xsi:type="dcterms:W3CDTF">2017-06-16T14:36:00Z</dcterms:modified>
</cp:coreProperties>
</file>