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E6563D" w:rsidP="00620697">
      <w:pPr>
        <w:pStyle w:val="Heading1"/>
      </w:pPr>
      <w:r w:rsidRPr="00E6563D">
        <w:t>Clinical Program Associate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E6563D" w:rsidRPr="00E6563D" w:rsidRDefault="00E6563D" w:rsidP="00E6563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color w:val="000000"/>
        </w:rPr>
      </w:pPr>
      <w:r w:rsidRPr="00E6563D">
        <w:rPr>
          <w:rFonts w:cs="Arial"/>
          <w:noProof/>
          <w:color w:val="000000"/>
        </w:rPr>
        <w:t>Work under the direction of the Program Manager, Program Director or Principle Investigator to coordinate the programmatic and day-to-day administrative activities of the program.  Provide support to the team to facilitate the achievement of the program’s goals.  May spend a percentage of work time coordinating patient care to program participants.</w:t>
      </w:r>
    </w:p>
    <w:p w:rsidR="005C3F2C" w:rsidRPr="005C3F2C" w:rsidRDefault="005C3F2C" w:rsidP="005C3F2C"/>
    <w:p w:rsidR="00620697" w:rsidRDefault="00F60810" w:rsidP="00AC387B">
      <w:pPr>
        <w:pStyle w:val="Heading2"/>
      </w:pPr>
      <w:r>
        <w:t>Duties and Responsibilities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Coordinate patient care related to clinical programs; assist in the scheduling of patient appointments in a timely manner.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Collaborate on the development of program materials including education materials, marketing materials, websites, forms, and reports.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Collaborate to develop, implement, and maintain comprehensive databases related to the program.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Support the Division Chief and Faculty in their daily activities including scheduling meetings, recording information, distributing reports, maintaining calendars, and making travel arrangements.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Maintain program timeline including tracking deadlines for program components.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Monitor program budget.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Create and maintain all division schedules related to faculty, fellow, resident, and student rotations including conference schedules.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Organize internal and external meetings, site visits, and special events.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Conduct or coordinate training for program participants.</w:t>
      </w:r>
    </w:p>
    <w:p w:rsidR="00E6563D" w:rsidRPr="00E6563D" w:rsidRDefault="00E6563D" w:rsidP="00E6563D">
      <w:pPr>
        <w:widowControl w:val="0"/>
        <w:numPr>
          <w:ilvl w:val="0"/>
          <w:numId w:val="2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 w:rsidRPr="00E6563D">
        <w:rPr>
          <w:rFonts w:cs="Arial"/>
          <w:color w:val="333333"/>
          <w:szCs w:val="20"/>
        </w:rPr>
        <w:t>Collect, analyze, and disseminate program data including reporting program data and progress to program stakeholders.</w:t>
      </w:r>
    </w:p>
    <w:p w:rsidR="00156D8C" w:rsidRPr="00156D8C" w:rsidRDefault="00156D8C" w:rsidP="00E6563D">
      <w:pPr>
        <w:pStyle w:val="ListParagraph"/>
        <w:ind w:left="1080"/>
      </w:pPr>
      <w:r w:rsidRPr="00156D8C">
        <w:t xml:space="preserve"> </w:t>
      </w:r>
    </w:p>
    <w:p w:rsidR="004C0AD3" w:rsidRDefault="004C0AD3" w:rsidP="00156D8C">
      <w:pPr>
        <w:pStyle w:val="Heading2"/>
      </w:pPr>
      <w:r>
        <w:t>Knowledge, Skills and Abilities</w:t>
      </w:r>
    </w:p>
    <w:p w:rsidR="005C3F2C" w:rsidRPr="00E6563D" w:rsidRDefault="00E6563D" w:rsidP="00E6563D">
      <w:pPr>
        <w:rPr>
          <w:sz w:val="24"/>
        </w:rPr>
      </w:pPr>
      <w:r w:rsidRPr="00E6563D">
        <w:rPr>
          <w:rFonts w:cs="Arial"/>
          <w:szCs w:val="20"/>
        </w:rPr>
        <w:t xml:space="preserve">Knowledge of computers, clerical procedures, customer service standards, collaboration, and information management. Organization, time management, interpersonal, communication, and </w:t>
      </w:r>
      <w:proofErr w:type="gramStart"/>
      <w:r w:rsidRPr="00E6563D">
        <w:rPr>
          <w:rFonts w:cs="Arial"/>
          <w:szCs w:val="20"/>
        </w:rPr>
        <w:t>problem solving</w:t>
      </w:r>
      <w:proofErr w:type="gramEnd"/>
      <w:r w:rsidRPr="00E6563D">
        <w:rPr>
          <w:rFonts w:cs="Arial"/>
          <w:szCs w:val="20"/>
        </w:rPr>
        <w:t xml:space="preserve"> skills</w:t>
      </w: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Education:</w:t>
      </w:r>
      <w:r w:rsidR="005C3F2C">
        <w:t xml:space="preserve"> </w:t>
      </w:r>
      <w:r w:rsidR="00E6563D" w:rsidRPr="00E6563D">
        <w:rPr>
          <w:rFonts w:cs="Arial"/>
          <w:color w:val="333333"/>
          <w:szCs w:val="20"/>
        </w:rPr>
        <w:t>Bachelor's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E6563D" w:rsidRPr="00E6563D">
        <w:rPr>
          <w:rFonts w:cs="Arial"/>
          <w:noProof/>
          <w:color w:val="000000"/>
          <w:szCs w:val="18"/>
        </w:rPr>
        <w:t>1 year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Non-exempt</w:t>
      </w:r>
      <w:bookmarkStart w:id="0" w:name="_GoBack"/>
      <w:bookmarkEnd w:id="0"/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8"/>
  </w:num>
  <w:num w:numId="4">
    <w:abstractNumId w:val="7"/>
  </w:num>
  <w:num w:numId="5">
    <w:abstractNumId w:val="10"/>
  </w:num>
  <w:num w:numId="6">
    <w:abstractNumId w:val="21"/>
  </w:num>
  <w:num w:numId="7">
    <w:abstractNumId w:val="14"/>
  </w:num>
  <w:num w:numId="8">
    <w:abstractNumId w:val="22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24"/>
  </w:num>
  <w:num w:numId="14">
    <w:abstractNumId w:val="5"/>
  </w:num>
  <w:num w:numId="15">
    <w:abstractNumId w:val="13"/>
  </w:num>
  <w:num w:numId="16">
    <w:abstractNumId w:val="20"/>
  </w:num>
  <w:num w:numId="17">
    <w:abstractNumId w:val="19"/>
  </w:num>
  <w:num w:numId="18">
    <w:abstractNumId w:val="9"/>
  </w:num>
  <w:num w:numId="19">
    <w:abstractNumId w:val="3"/>
  </w:num>
  <w:num w:numId="20">
    <w:abstractNumId w:val="16"/>
  </w:num>
  <w:num w:numId="21">
    <w:abstractNumId w:val="23"/>
  </w:num>
  <w:num w:numId="22">
    <w:abstractNumId w:val="11"/>
  </w:num>
  <w:num w:numId="23">
    <w:abstractNumId w:val="0"/>
  </w:num>
  <w:num w:numId="24">
    <w:abstractNumId w:val="27"/>
  </w:num>
  <w:num w:numId="25">
    <w:abstractNumId w:val="25"/>
  </w:num>
  <w:num w:numId="26">
    <w:abstractNumId w:val="8"/>
  </w:num>
  <w:num w:numId="27">
    <w:abstractNumId w:val="2"/>
  </w:num>
  <w:num w:numId="28">
    <w:abstractNumId w:val="12"/>
  </w:num>
  <w:num w:numId="29">
    <w:abstractNumId w:val="2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702BA6"/>
    <w:rsid w:val="0070607C"/>
    <w:rsid w:val="00726FF0"/>
    <w:rsid w:val="007A611C"/>
    <w:rsid w:val="007E1E0D"/>
    <w:rsid w:val="00845FA5"/>
    <w:rsid w:val="008A5635"/>
    <w:rsid w:val="008A7C9A"/>
    <w:rsid w:val="00930BD8"/>
    <w:rsid w:val="00984F7D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17A6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8BC3-88BC-4879-8CB7-C6883E8B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2019-02-04T18:58:00Z</dcterms:created>
  <dcterms:modified xsi:type="dcterms:W3CDTF">2019-02-04T18:58:00Z</dcterms:modified>
</cp:coreProperties>
</file>